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Nouri gegen Stadt Würzburg</w:t>
      </w:r>
    </w:p>
    <w:p>
      <w:r>
        <w:t>ENTWURF – NICHT EINGEREICHT</w:t>
        <w:br/>
        <w:t>Stand: 5. Oktober 2026</w:t>
      </w:r>
    </w:p>
    <w:p>
      <w:r>
        <w:t>An das Landgericht Würzburg</w:t>
        <w:br/>
        <w:t>Ottostraße 5, 97070 Würzburg</w:t>
      </w:r>
    </w:p>
    <w:p>
      <w:pPr>
        <w:pStyle w:val="Heading1"/>
      </w:pPr>
      <w:r>
        <w:t>1 Parteien und Antrag</w:t>
      </w:r>
    </w:p>
    <w:p>
      <w:r>
        <w:t>In dem Rechtsstreit des Samir Nouri, handelnd unter Kaffee Nouri, Löwensamenweg 3, 97074 Würzburg, Kläger, Prozessbevollmächtigte: Rechtsanwältin Dr. Nadia Wolfram, Birkenfächerweg 2, 97076 Würzburg,</w:t>
      </w:r>
    </w:p>
    <w:p>
      <w:r>
        <w:t>gegen die Stadt Würzburg, vertreten durch den Oberbürgermeister, Mainlaubplatz 1, 97070 Würzburg, Beklagte,</w:t>
      </w:r>
    </w:p>
    <w:p>
      <w:r>
        <w:t>wird beantragt, die Beklagte zu verurteilen, an den Kläger 119,00 EUR nebst Zinsen in Höhe von fünf Prozentpunkten über dem jeweiligen Basiszinssatz ab dem auf die Zustellung der Klage folgenden Tag zu zahlen und die Kosten des Rechtsstreits zu tragen. Der Streitwert beträgt 119,00 EUR. Vorgerichtliche Rechtsanwaltskosten sind nicht Gegenstand des Antrags.</w:t>
      </w:r>
    </w:p>
    <w:p>
      <w:r>
        <w:t>Es handelt sich um einen Entwurf vor Ablauf der außergerichtlichen Antwortfrist am 12. Oktober. Weder eine Einreichung noch eine Zustellung dieser Zivilklage hat stattgefunden. Die wesentlich höhere prozessuale Kostenbelastung im Verhältnis zur Forderung wird durch die sachliche Zuständigkeit nicht beseitigt; der Entwurf nimmt eine Entscheidung über die tatsächliche Einreichung nicht vorweg.</w:t>
      </w:r>
    </w:p>
    <w:p>
      <w:pPr>
        <w:pStyle w:val="Heading1"/>
      </w:pPr>
      <w:r>
        <w:t>2 Rechtsweg und Zuständigkeit</w:t>
      </w:r>
    </w:p>
    <w:p>
      <w:r>
        <w:t>Die geltend gemachte Pflichtverletzung betrifft die hoheitliche Bearbeitung eines Antrags auf Sondernutzungserlaubnis und eine dienstliche Auskunft hierzu. Art. 34 Satz 3 GG eröffnet für den Schadensersatzanspruch den ordentlichen Rechtsweg. Gemäß § 71 Abs. 2 Nr. 2 GVG ist das Landgericht unabhängig vom Streitwert ausschließlich sachlich zuständig. § 23 Nr. 1 GVG mit der seit 2026 geltenden Grenze von 10.000 EUR führt bei Amtshaftungsansprüchen nicht zum Amtsgericht. Die Beklagte hat ihren Sitz in Würzburg; dort wurden die unrichtige Auskunft erteilt und die nachteilige Entscheidung getroffen. Die örtliche Zuständigkeit folgt aus §§ 17, 32 ZPO.</w:t>
      </w:r>
    </w:p>
    <w:p>
      <w:r>
        <w:t>Gegenstand ist ein eigener reiner Vermögensschaden des Klägers. Er begehrt weder nachträglichen Erlass einer für Juni bestimmten Erlaubnis noch verwaltungsgerichtliche Feststellung der Genehmigungsfähigkeit. Eine unzulässige Klage gegen die einzelne Sachbearbeiterin wird nicht erhoben. Die Haftung richtet sich bei Vorliegen der Voraussetzungen gegen die Anstellungskörperschaft.</w:t>
      </w:r>
    </w:p>
    <w:p>
      <w:pPr>
        <w:pStyle w:val="Heading1"/>
      </w:pPr>
      <w:r>
        <w:t>3 Antrag und Fehler im Verwaltungsablauf</w:t>
      </w:r>
    </w:p>
    <w:p>
      <w:r>
        <w:t>Der Kläger beantragte am 28. April 2026, am 20. und 21. Juni jeweils von 09:00 bis 17:00 Uhr auf dem Krummblattplatz einen mobilen Kaffee- und Teestand aufstellen zu dürfen. Beansprucht wurden drei mal zwei Meter, ohne Alkohol, Sitzplätze oder Musik. Die Restgehwegbreite sollte mindestens 2,50 Meter betragen. Es ging um eine eigenständige straßenrechtliche Sondernutzung neben einem Handwerkertag, nicht um eine vom Veranstalter weiterzugebende Standberechtigung. Wasser und Strom sollten selbst mitgeführt werden. Am 29. April bestätigte die Sachbearbeiterin Edeltraud Merk die Vollständigkeit und die zutreffenden Junidaten.</w:t>
      </w:r>
    </w:p>
    <w:p>
      <w:r>
        <w:t>Beweis: Antrag und Eingangsbestätigung, Anlagen K1 und K2. Für die Aktenbearbeitung wird Zeugnis der Edeltraud Merk, zu laden über Stadt Würzburg, Sachgebiet Sondernutzung, Mainlaubplatz 1, 97070 Würzburg, angeboten.</w:t>
      </w:r>
    </w:p>
    <w:p>
      <w:r>
        <w:t>Im Register wurden gleichwohl der 20. und 21. Juli eingetragen. Der Vorgang erhielt deshalb eine Wiedervorlage erst für den 29. Juni. Eine Ortsprüfung am 7. Mai ergab 2,55 Meter Restgehwegbreite und keine entgegenstehenden örtlichen Hindernisse. Sachgebietsleiter Eberhard Abelein bewertete das Vorhaben am 11. Mai intern als zustimmungsfähig. Ein unterschriebener Bescheid existierte nicht. Die Sachbearbeiterin bereitete Entscheidungen vor; zur Erteilung war der Sachgebietsleiter befugt.</w:t>
      </w:r>
    </w:p>
    <w:p>
      <w:r>
        <w:t>Beweis: Registerauszug und Erklärung der Sachgebietsleitung, Anlagen K3 und K6; Zeugnis des Eberhard Abelein, zu laden über die genannte Dienststelle. Die Klage setzt eine positive Vorbewertung nicht mit einer wirksamen Erlaubnis gleich. Sie legt ebenso wenig eine erfundene gebundene Bewilligungspflicht nach einer nicht vorliegenden Satzung zugrunde. Art. 18 BayStrWG bildet den straßenrechtlichen Rahmen. Die konkrete damalige Zulässigkeit und eine rechtzeitige Entscheidungsmöglichkeit werden durch die vorgenannten Tatsachen und die befugte Person belegt.</w:t>
      </w:r>
    </w:p>
    <w:p>
      <w:r>
        <w:t>Am 15. Juni erhielt der Kläger auf seine Nachfrage eine E-Mail, wonach es um einen Stand im Juli gehe. Am 16. Juni um 08:12 Uhr korrigierte er dies, verwies auf den vollständigen Aprilantrag, den bereits gemieteten Wagen und die bis 17. Juni 18:00 Uhr begrenzte halbe Stornierung. Er bat um Entscheidung bis Donnerstag. Dabei erwähnte er, dass er von gerichtlichem Eilrechtsschutz gelesen habe. Eine rechtzeitige schriftliche Korrektur oder Warnung, dass die Entscheidung ungesichert bleibe, erhielt er nicht.</w:t>
      </w:r>
    </w:p>
    <w:p>
      <w:r>
        <w:t>Beweis: E-Mail-Auskunft und dringende Nachfrage, Anlagen K4 und K5. Eine bloße Sachstandsanfrage ohne Termin- oder Schadenshinweis wird dem Gericht damit nicht unterbreitet.</w:t>
      </w:r>
    </w:p>
    <w:p>
      <w:pPr>
        <w:pStyle w:val="Heading1"/>
      </w:pPr>
      <w:r>
        <w:t>4 Mietvertrag und zweite Entscheidungsmöglichkeit</w:t>
      </w:r>
    </w:p>
    <w:p>
      <w:r>
        <w:t>Der Kläger hatte den Wagen „Spatz“ am 2. Juni für das Wochenende gemietet und am 8. Juni 238,00 EUR einschließlich Umsatzsteuer bezahlt. Bei Absage bis zum 17. Juni 18:00 Uhr wäre die Hälfte zurückerstattet worden; danach blieb ohne Weitervermietung der volle Mietpreis geschuldet. Die Beschaffung der behördlichen Erlaubnis war sein Risiko gegenüber der Vermieterin. Er ließ die reguläre Frist aus Hoffnung auf die Korrektur verstreichen. Die erst am 18. Juni erteilte Auskunft wird nicht nachträglich als Ursache dieser bereits abgeschlossenen Entscheidung dargestellt.</w:t>
      </w:r>
    </w:p>
    <w:p>
      <w:r>
        <w:t>Beweis: Mietrechnung mit Bedingungen und ursprüngliche Forderung, Anlagen K7 und K9.</w:t>
      </w:r>
    </w:p>
    <w:p>
      <w:r>
        <w:t>Am 18. Juni um 08:46 Uhr bot die Vermieterin Karla Storch per Nachricht einmalig an, bei verbindlicher Absage bis 12:00 Uhr doch noch 119,00 EUR zurückzuzahlen. Dies war eine nachträgliche Kulanz, keine andere ursprüngliche Vertragsklausel. Der Kläger antwortete um 08:52 Uhr, er werde die Angelegenheit sofort mit der Stadt klären. Das Angebot war von einer Weitervermietung unabhängig. Bei rechtzeitiger Absage hätte Frau Storch die Hälfte tatsächlich erstattet.</w:t>
      </w:r>
    </w:p>
    <w:p>
      <w:r>
        <w:t>Beweis: Ergänzende Nachricht vom 1. Oktober mit vollständiger Wiedergabe des kurzen Verlaufs, Anlage K10; Zeugnis der Karla Storch, Saatlaubenweg 8, 97076 Würzburg; Augenschein des auf ihrem Geschäftstelefon gespeicherten Nachrichtenverlaufs, dessen Vorlage sie zugesagt hat. Die nachträgliche E-Mail wird nicht als technische Sicherung einer damals exportierten Originaldatei bezeichnet. Zur Echtheit und Vollständigkeit steht die Verfasserin zur Verfügung.</w:t>
      </w:r>
    </w:p>
    <w:p>
      <w:r>
        <w:t>Die Nachricht vom 23. Juni widerspricht dem nicht. Sie betrifft die tatsächliche Absage am Freitag, dem 19. Juni, um 16:22 Uhr. Zu diesem Zeitpunkt waren sowohl die reguläre Frist als auch die neue einmalige Kulanz abgelaufen. Die dort verneinte kostenlose Umbuchung ist ebenfalls etwas anderes als die befristete halbe Erstattung. Der Wagen wurde nach der tatsächlichen Absage nicht weitervermietet; es gab keine nachträgliche Einnahme oder Gutschrift.</w:t>
      </w:r>
    </w:p>
    <w:p>
      <w:r>
        <w:t>Beweis: Bestätigung der Vermieterin vom 23. Juni, Anlage K8, sowie ihr Zeugnis.</w:t>
      </w:r>
    </w:p>
    <w:p>
      <w:pPr>
        <w:pStyle w:val="Heading1"/>
      </w:pPr>
      <w:r>
        <w:t>5 Unzutreffende Auskunft am 18. Juni</w:t>
      </w:r>
    </w:p>
    <w:p>
      <w:r>
        <w:t>Um etwa 09:35 Uhr rief der Kläger Frau Merk an und nannte das bis mittags bestehende Kulanzangebot. Sie erklärte sinngemäß, der Fehler sei geklärt und er bekomme die Erlaubnis am nächsten Tag. Das Register war jedoch noch nicht berichtigt; eine unterschriftsreife Vorlage war nicht an den Sachgebietsleiter gegeben worden. Eine verbindliche Zusage über die Zeichnung lag nicht vor. Frau Merk erläuterte diese Unsicherheit nicht. Sie schloss lediglich aus der positiven Ortsprüfung auf eine schnelle Erledigung.</w:t>
      </w:r>
    </w:p>
    <w:p>
      <w:r>
        <w:t>Beweis: Ergänzende dienstliche Erklärung der Frau Merk vom 1. Oktober, Anlage K11; ihr Zeugnis zum Inhalt, zum Kenntnisstand und zur fehlenden Zeichnungsabsprache. Der Kläger bietet ergänzend seine persönliche Anhörung an. Es existiert keine Tonaufnahme und keine zeitgleiche Gesprächsniederschrift. Die gegenüber der ursprünglichen vorsichtigen Erinnerung präzisierte Erklärung wird ausdrücklich als spätere Erinnerung kenntlich gemacht.</w:t>
      </w:r>
    </w:p>
    <w:p>
      <w:r>
        <w:t>Der Kläger unterließ nach dem Gespräch die Absage. Bei wahrheitsgemäßer Information, dass eine Entscheidung für Freitag nicht abgesprochen war, hätte er vor zwölf Uhr storniert. Er hielt sein Telefon bereit und konnte die Vermieterin unmittelbar erreichen. Er verfügte über keine bindenden Vorbestellungen, die das zusätzliche Risiko gerechtfertigt hätten. Die positive bestimmte Auskunft gab für sein weiteres Abwarten den Ausschlag. Am Freitagnachmittag war eine rechtzeitige Unterschrift nicht mehr erreichbar; um 16:22 Uhr sagte er den Wagen ab.</w:t>
      </w:r>
    </w:p>
    <w:p>
      <w:r>
        <w:t>Beweis: Erklärung des Klägers vom 2. Oktober, Anlage K12, und persönliche Anhörung gemäß § 141 ZPO; Zeugnis der Frau Merk zum mitgeteilten Entscheidungsdruck; Zeugnis der Frau Storch zur Erreichbarkeit und ausbleibenden Absage. Eine Parteivernehmung bleibt den gesetzlichen Voraussetzungen vorbehalten. Dass der Kläger die erste Frist aus Hoffnung verstreichen ließ, ist ein gegenläufiger Umstand, beseitigt aber nicht ohne Weiteres seine erst danach eröffnete neue Entscheidungsmöglichkeit.</w:t>
      </w:r>
    </w:p>
    <w:p>
      <w:pPr>
        <w:pStyle w:val="Heading1"/>
      </w:pPr>
      <w:r>
        <w:t>6 Amtspflichtverletzung</w:t>
      </w:r>
    </w:p>
    <w:p>
      <w:r>
        <w:t>Die Anspruchsgrundlage ist § 839 Abs. 1 BGB in Verbindung mit Art. 34 GG. Die mit einer konkreten Antragssache befasste Amtsträgerin musste vollständige, richtige und ihrem tatsächlichen Kenntnisstand entsprechende Auskunft erteilen. Die Pflicht diente gerade dem Kläger, dessen Disposition und bezifferte Zusatzkosten bekannt waren. Sie erfasste auch die Grenze ihrer eigenen Befugnis. Aus einer internen positiven Vorprüfung durfte sie keine sichere Erlaubnis für den nächsten Tag ableiten, ohne die befugte Stelle einbezogen zu haben.</w:t>
      </w:r>
    </w:p>
    <w:p>
      <w:r>
        <w:t>Das Verschulden liegt nicht allein in der später festgestellten Verzögerung. Frau Merk wusste, dass keine Zeichnungsabsprache bestand, und hatte den vom Kläger genannten Stornotermin vor Augen. Bereits die gebotene einfache Prüfung des Bearbeitungsstands hätte eine bestimmte Zusage ausgeschlossen. Die am 5. Oktober erteilte Stellungnahme der Rechtsstelle bestätigt, dass eine solche Auskunft nicht hätte gegeben werden dürfen. Die Beklagte bestreitet jedoch weiterhin Zurechnung und Schadensabwendungsmöglichkeiten.</w:t>
      </w:r>
    </w:p>
    <w:p>
      <w:r>
        <w:t>Beweis: Stellungnahme der Beklagten, Anlage K14. Ein Anerkenntnis des gesamten Zahlungsanspruchs wird daraus nicht hergeleitet.</w:t>
      </w:r>
    </w:p>
    <w:p>
      <w:r>
        <w:t>Die unrichtige Julierfassung und verspätete Weitergabe erklären, weshalb die Situation entstand. Für den beschränkt geltend gemachten Betrag genügt der engere Ursachenzusammenhang zwischen falscher Donnerstagsauskunft und nicht genutzter konkreter Kulanz. Es muss nicht unterstellt werden, eine ordnungsgemäße Bearbeitung hätte zwingend jeden wirtschaftlichen Erfolg des Wochenendverkaufs gesichert. Selbst wenn der befugte Leiter noch rechtmäßig hätte ablehnen können, hätte eine zutreffende Auskunft den Kläger zur kostengünstigeren Absage veranlasst.</w:t>
      </w:r>
    </w:p>
    <w:p>
      <w:pPr>
        <w:pStyle w:val="Heading1"/>
      </w:pPr>
      <w:r>
        <w:t>7 Schaden und rechtmäßiges Alternativverhalten</w:t>
      </w:r>
    </w:p>
    <w:p>
      <w:r>
        <w:t>Der Kläger verlangt keine abstrakte Vergütung ausgefallener Geschäftschancen. Der gezahlte Betrag beträgt 238,00 EUR. Bei zutreffender Information und Absage bis 12:00 Uhr wäre seine endgültige Belastung nach dem konkreten Angebot auf 119,00 EUR gesunken. Die Differenz beträgt genau 119,00 EUR. Bereits vor dem Telefonat unvermeidbar gewordene 119,00 EUR werden von ihm selbst getragen. Damit wird die frühere Forderung von 238,00 EUR ersetzt und nicht um eine weitere Position ergänzt. Die Beschränkung samt neuer Entscheidungskette wurde der Beklagten im Schreiben vom 2. Oktober, Anlage K13, mitgeteilt.</w:t>
      </w:r>
    </w:p>
    <w:p>
      <w:r>
        <w:t>Die Wagenmiete ist nicht schon wegen der fehlenden Nutzung automatisch in voller Höhe ersatzfähig. Die Klage stützt sich auf eine konkret verlorene vertragliche Rückzahlungsmöglichkeit. Eine hypothetische schlechte Umsatzentwicklung berührt diesen abgesonderten Vertrauensschaden nicht. Der Kläger wendet die Kleinunternehmerregelung an und kann aus der Rechnung keine Vorsteuer abziehen. Eine Erstattung, spätere Gutschrift oder anderweitige Wagenverwendung gab es nicht. Eingekaufte Waren konnte er weiterverwenden; dafür und für unbelegte Gewinne verlangt er nichts.</w:t>
      </w:r>
    </w:p>
    <w:p>
      <w:r>
        <w:t>Die Vermieterin haftet nach den vorhandenen Vereinbarungen nicht wegen der Versagung der Sondernutzung. Sie hielt den Wagen bereit und bot sogar zusätzliche Kulanz. Eine anderweitige Ersatzmöglichkeit für denselben Betrag ist nicht ersichtlich. Ob der Kläger bei richtiger Information wirklich abgesagt hätte, ist eine nach den konkreten Umständen zu würdigende Kausalitätsfrage; sie wird nicht allein durch die spätere Selbstauskunft als bewiesen ausgegeben.</w:t>
      </w:r>
    </w:p>
    <w:p>
      <w:pPr>
        <w:pStyle w:val="Heading1"/>
      </w:pPr>
      <w:r>
        <w:t>8 Schadensabwendung und Gegenargumente</w:t>
      </w:r>
    </w:p>
    <w:p>
      <w:r>
        <w:t>§ 839 Abs. 3 BGB setzt ein schuldhaft unterlassenes, zur Abwendung des Schadens geeignetes Rechtsmittel voraus. Hierzu genügt nicht die abstrakte Feststellung, der Kläger habe keinen Antrag nach § 123 VwGO gestellt. Zu prüfen sind Zeitpunkt, Zumutbarkeit und mögliche Wirkung. Am 16. Juni machte er den Fehler schriftlich geltend, verlangte eine kurzfristige Entscheidung und wies auf konkrete Kosten hin. Für eine einfache straßenrechtliche Sondernutzung ist in Bayern nach Art. 12 Abs. 2 AGVwGO grundsätzlich kein Vorverfahren durchzuführen; verwaltungsgerichtlicher Eilrechtsschutz kam jedoch in Betracht.</w:t>
      </w:r>
    </w:p>
    <w:p>
      <w:r>
        <w:t>Die Klägerseite verkennt nicht, dass ein Eilantrag bereits am 16. Juni Anlass zur beschleunigten Prüfung hätte geben können. Die Beklagte müsste für einen Ausschluss darlegen, welches bei zumutbarem Verhalten rechtzeitig erreichbare Ergebnis gerade den eingeklagten Schaden abgewendet hätte. Eine sichere Entscheidung innerhalb weniger Tage, erst recht zwischen 09:35 und 12:00 Uhr am Donnerstag, kann nicht ohne Tatsachengrundlage unterstellt werden. Der Kläger begehrte keinen unklaren zukünftigen Termin, sondern erhielt von der unmittelbar zuständigen Sachbearbeitung eine bestimmte Erledigungsankündigung. Diese neue Auskunft ist für die Zumutbarkeit weiteren Rechtsschutzes zu berücksichtigen.</w:t>
      </w:r>
    </w:p>
    <w:p>
      <w:r>
        <w:t>Nach § 254 BGB ist ferner zu würdigen, dass er zunächst auf Hoffnung vertraute und schon eine Stornofrist verstreichen ließ. Diesem Gesichtspunkt trägt die Beschränkung des Anspruchs Rechnung, ohne damit jede weitere Kürzung auszuschließen. Für die zweite Frist lag eine neue, wesentlich bestimmtere Information vor. Es war nicht erforderlich, dass Frau Merk den Bescheid selbst erteilen konnte; entscheidend ist, dass sie als bearbeitende Amtsträgerin eine angeblich gesicherte Erledigung mitteilte. Der Kläger durfte keine formelle Erlaubnis aus einem Telefonat ableiten, musste die ihm verschwiegene fehlende Zeichnungsabsprache aber auch nicht erraten.</w:t>
      </w:r>
    </w:p>
    <w:p>
      <w:pPr>
        <w:pStyle w:val="Heading1"/>
      </w:pPr>
      <w:r>
        <w:t>9 Zinsen und Verfahrensumfang</w:t>
      </w:r>
    </w:p>
    <w:p>
      <w:r>
        <w:t>Zinsen werden aus §§ 291, 288 Abs. 1 BGB ab dem Tag nach einer tatsächlichen späteren Zustellung beantragt. Ein Anspruch auf neun Prozentpunkte wird nicht erhoben; die Ersatzforderung ist keine Entgeltforderung. Eine bereits eingetretene Rechtshängigkeit oder ein abgelaufener außergerichtlicher Zahlungstermin wird nicht behauptet.</w:t>
      </w:r>
    </w:p>
    <w:p>
      <w:r>
        <w:t>Der geringe Betrag legt eine außergerichtliche Einigung nahe, beseitigt aber weder die Amtspflicht noch die gesetzliche Zuständigkeit. Der Entwurf legt die ursprüngliche höhere Forderung, den später gefundenen Nachrichtenaustausch und die gegenläufigen Umstände offen. Über die Beweiswürdigung wird keine vorweggenommene Sicherheit behauptet.</w:t>
      </w:r>
    </w:p>
    <w:p>
      <w:r>
        <w:t>Dr. Nadia Wolfram</w:t>
        <w:br/>
        <w:t>Rechtsanwältin</w:t>
        <w:br/>
        <w:t>Entwurfsfassung ohne Unterschrift und ohne Einreichung</w:t>
      </w:r>
    </w:p>
    <w:p>
      <w:pPr>
        <w:pStyle w:val="Heading1"/>
      </w:pPr>
      <w:r>
        <w:t>10. Anlagenverzeichnis</w:t>
      </w:r>
    </w:p>
    <w:p>
      <w:r>
        <w:t>K1: Vollständiger Antrag für den 20. und 21. Juni</w:t>
        <w:br/>
        <w:t>Datei: 02_Antrag.docx</w:t>
      </w:r>
    </w:p>
    <w:p>
      <w:r>
        <w:t>K2: Bestätigung der Vollständigkeit und der Junidaten</w:t>
        <w:br/>
        <w:t>Datei: 03_Eingangsbestaetigung.eml</w:t>
      </w:r>
    </w:p>
    <w:p>
      <w:r>
        <w:t>K3: Falsche Julierfassung und positive Ortsprüfung</w:t>
        <w:br/>
        <w:t>Datei: 04_Registerauszug.docx</w:t>
      </w:r>
    </w:p>
    <w:p>
      <w:r>
        <w:t>K4: Schriftliche Falschauskunft vom 15.06.2026</w:t>
        <w:br/>
        <w:t>Datei: 05_Falsche_Auskunft.eml</w:t>
      </w:r>
    </w:p>
    <w:p>
      <w:r>
        <w:t>K5: Richtigstellung, Hinweis auf Kosten und Entscheidungsbedarf</w:t>
        <w:br/>
        <w:t>Datei: 06_Dringende_Nachfrage.eml</w:t>
      </w:r>
    </w:p>
    <w:p>
      <w:r>
        <w:t>K6: Befugnisse, Genehmigungsfähigkeit und damaliger Kenntnisstand</w:t>
        <w:br/>
        <w:t>Datei: 07_Sachgebietsleitung.docx</w:t>
      </w:r>
    </w:p>
    <w:p>
      <w:r>
        <w:t>K7: Mietvereinbarung, Zahlung und reguläre Stornobedingungen</w:t>
        <w:br/>
        <w:t>Datei: 08_Wagenmiete_Rechnung.docx</w:t>
      </w:r>
    </w:p>
    <w:p>
      <w:r>
        <w:t>K8: Tatsächliche Absage und fehlende Weitervermietung</w:t>
        <w:br/>
        <w:t>Datei: 09_Vermieter.eml</w:t>
      </w:r>
    </w:p>
    <w:p>
      <w:r>
        <w:t>K9: Ursprüngliche Forderung und fehlende festen Vorbestellungen</w:t>
        <w:br/>
        <w:t>Datei: 10_Forderung.eml</w:t>
      </w:r>
    </w:p>
    <w:p>
      <w:r>
        <w:t>K10: Nachgereichte Dokumentation der einmaligen Kulanzfrist</w:t>
        <w:br/>
        <w:t>Datei: schriftverkehr-und-klage/11_Storno_Kulanz.eml</w:t>
      </w:r>
    </w:p>
    <w:p>
      <w:r>
        <w:t>K11: Präzisierung der unzutreffenden telefonischen Zusage</w:t>
        <w:br/>
        <w:t>Datei: schriftverkehr-und-klage/12_Telefonat_Praezisierung.eml</w:t>
      </w:r>
    </w:p>
    <w:p>
      <w:r>
        <w:t>K12: Zeitliche Entscheidungskette und Beschränkung des Schadens</w:t>
        <w:br/>
        <w:t>Datei: schriftverkehr-und-klage/13_Entscheidung_Klaeger.eml</w:t>
      </w:r>
    </w:p>
    <w:p>
      <w:r>
        <w:t>K13: Korrigierte Forderung von 119,00 EUR</w:t>
        <w:br/>
        <w:t>Datei: schriftverkehr-und-klage/14_Reduzierte_Forderung.pdf</w:t>
      </w:r>
    </w:p>
    <w:p>
      <w:r>
        <w:t>K14: Einwendungen der Stadt gegen Zurechnung und Rechtsschutzverhalten</w:t>
        <w:br/>
        <w:t>Datei: schriftverkehr-und-klage/15_Antwort_Stadt.pdf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Nouri gegen Stadt Würzburg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