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Klageentwurf Adebayo gegen Stadt Würzburg</w:t>
      </w:r>
    </w:p>
    <w:p>
      <w:r>
        <w:t>ENTWURF – NICHT EINGEREICHT</w:t>
        <w:br/>
        <w:t>Stand: 5. Oktober 2026</w:t>
      </w:r>
    </w:p>
    <w:p>
      <w:r>
        <w:t>An das Landgericht Würzburg</w:t>
        <w:br/>
        <w:t>Ottostraße 5, 97070 Würzburg</w:t>
      </w:r>
    </w:p>
    <w:p>
      <w:pPr>
        <w:pStyle w:val="Heading1"/>
      </w:pPr>
      <w:r>
        <w:t>1 Parteien und Anträge</w:t>
      </w:r>
    </w:p>
    <w:p>
      <w:r>
        <w:t>In dem Rechtsstreit der Tola Adebayo, Haselkornbogen 5, 97074 Würzburg, Klägerin, Prozessbevollmächtigte: Rechtsanwältin Anja Weller, Weidenblütenweg 6, 97074 Würzburg,</w:t>
      </w:r>
    </w:p>
    <w:p>
      <w:r>
        <w:t>gegen die Stadt Würzburg, vertreten durch den Oberbürgermeister, Mainlaubplatz 1, 97070 Würzburg, Beklagte,</w:t>
      </w:r>
    </w:p>
    <w:p>
      <w:r>
        <w:t>wird beantragt, die Beklagte zu verurteilen, an die Klägerin 860,00 EUR nebst Zinsen in Höhe von fünf Prozentpunkten über dem jeweiligen Basiszinssatz ab dem auf die Zustellung der Klage folgenden Tag zu zahlen und die Kosten des Rechtsstreits zu tragen. Der Streitwert beträgt 860,00 EUR.</w:t>
      </w:r>
    </w:p>
    <w:p>
      <w:r>
        <w:t>Dieser Entwurf betrifft eine noch nicht erhobene Zivilklage. Das frühere Verfahren vor dem Verwaltungsgericht betraf die Erteilung einer Baugenehmigung. Ein gerichtliches Aktenzeichen wird mangels entsprechender Unterlage nicht erfunden. Die außergerichtliche Antwortfrist vom 12. Oktober ist am Entwurfstag noch nicht abgelaufen. Vorgerichtliche Rechtsanwaltskosten, verwaltungsgerichtliche Verfahrenskosten und ein Feststellungsantrag werden nicht in den Zahlungsantrag aufgenommen.</w:t>
      </w:r>
    </w:p>
    <w:p>
      <w:pPr>
        <w:pStyle w:val="Heading1"/>
      </w:pPr>
      <w:r>
        <w:t>2 Zuständigkeit und Beteiligtenstellung</w:t>
      </w:r>
    </w:p>
    <w:p>
      <w:r>
        <w:t>Die Beklagte ist als kreisfreie Stadt selbst untere Bauaufsichtsbehörde nach Art. 53 BayBO. Die Klage richtet sich gegen sie wegen der Bearbeitung ihres eigenen Bauverfahrens, nicht gegen eine kreisangehörige Gemeinde wegen einer Entscheidung des Landratsamts. Die Verantwortung aus § 839 BGB trifft nach Art. 34 GG die Anstellungskörperschaft. Für den Amtshaftungsanspruch ist der ordentliche Rechtsweg eröffnet und gemäß § 71 Abs. 2 Nr. 2 GVG das Landgericht ohne Rücksicht auf den Streitwert ausschließlich sachlich zuständig. Die allgemeine Amtsgerichtsgrenze von 10.000 EUR ändert daran nichts. Sitz der Beklagten, Baugrundstück und Pflichtverletzung liegen in Würzburg; die örtliche Zuständigkeit folgt aus §§ 17, 32 ZPO.</w:t>
      </w:r>
    </w:p>
    <w:p>
      <w:r>
        <w:t>Die Klägerin ist Mieterin und Antragstellerin des für ihre eigene selbständige Tätigkeit vorgesehenen Büros. Sie macht ihren eigenen Vermögensschaden geltend. Eigentum am Gebäude wird nicht behauptet. Insbesondere wird der entgangene Beratungsgewinn nicht zu einem enteignungsrechtlichen Eingriff in Grundstückseigentum umgedeutet. Die Klage beruht auf der verletzten Amtspflicht zur zutreffenden und sachgerechten Bearbeitung ihres konkreten Antrags.</w:t>
      </w:r>
    </w:p>
    <w:p>
      <w:pPr>
        <w:pStyle w:val="Heading1"/>
      </w:pPr>
      <w:r>
        <w:t>3 Vorhaben und Genehmigungserfordernis</w:t>
      </w:r>
    </w:p>
    <w:p>
      <w:r>
        <w:t>Am 14. April beantragte die Klägerin, 42 Quadratmeter eines bislang unbeheizten Erdgeschosslagers am Haselkornbogen 5 in ein Büro mit zwei Arbeitsplätzen umzubauen und entsprechend zu nutzen. Das Gebäude besitzt drei Geschosse und sechs Einheiten. Beantragt waren eine 90 Zentimeter breite Öffnung in einer tragenden Innenwand mit berechnetem Sturz, technische Ausstattung und Heizung sowie die Nutzung als Aufenthaltsraum. Die zugehörigen Nachweise zu Statik, Belichtung, Lüftung und Brandschutz lagen vor. Am 17. April wurde die Vollständigkeit vermerkt. Es ging weder um einen Maschinenbetrieb noch um eine Produktionswerkstatt oder regelmäßigen Lieferverkehr.</w:t>
      </w:r>
    </w:p>
    <w:p>
      <w:r>
        <w:t>Beweis: Antragsbeschreibung einschließlich behördlichen Vollständigkeitsnachtrags, Anlage K1; Zeugnis der zuständigen Sachbearbeiterin Yasemin Kraus, zu laden über die Stadt Würzburg, Bauaufsicht, Mainlaubplatz 1, 97070 Würzburg. Die Bauakte wird hinsichtlich dieses Antrags und seiner Nachweise als konkret bezeichnete Behördenakte zur Beiziehung angeregt.</w:t>
      </w:r>
    </w:p>
    <w:p>
      <w:r>
        <w:t>Art. 55 Abs. 1 BayBO bildet den Ausgangspunkt der Genehmigungspflicht. Die Klägerin übersieht die seit 2025 erweiterten Erleichterungen für Nutzungsänderungen nach Art. 57 Abs. 4 Nr. 1 BayBO nicht. Ihr Vorhaben erschöpft sich aber nicht in einer bauplanungsrechtlich gebietstypischen Umbenennung von Räumen: Neu entstehen Anforderungen an Aufenthaltsräume; zugleich wird die tragende Wand eines mehrgeschossigen Gebäudes baulich verändert. Die geltend gemachte Genehmigungsbedürftigkeit wird auf dieses konkrete Gesamtvorhaben gestützt. Die Erweiterung der Nutzungsänderungsfreiheit macht zusätzliche bauordnungsrechtliche Anforderungen nicht gegenstandslos. Vgl. Bayerisches Staatsministerium für Wohnen, Bau und Verkehr, Vollzugshinweise vom 4. Februar 2025, Nr. 8 Buchst. g, S. 12 f.</w:t>
      </w:r>
    </w:p>
    <w:p>
      <w:r>
        <w:t>Das Grundstück liegt im unbeplanten bebauten Bereich mit Wohnen, Büros und kleineren Läden. Die Erschließung war gesichert. Die Nutzung blieb innerhalb des vorhandenen Gebäudes. Die spätere Genehmigung stellte für genau dieses unveränderte Vorhaben die Zulässigkeit nach § 34 BauGB und Art. 68 BayBO fest. Die Klägerin leitet die frühere Genehmigungsfähigkeit nicht allein aus einer später geänderten Rechts- oder Planungslage ab. Eine nachträgliche Planänderung oder zusätzliche tatsächliche Voraussetzung ist nicht dokumentiert. Die zwischen Antrag und Entscheidung in Kraft getretene BayBO-Änderung zum 1. Mai 2026 schafft für diese gewöhnliche Bürokonstellation keine hier tragende neue Erlaubnismöglichkeit.</w:t>
      </w:r>
    </w:p>
    <w:p>
      <w:pPr>
        <w:pStyle w:val="Heading1"/>
      </w:pPr>
      <w:r>
        <w:t>4 Fehlerhafte Versagung und Abhilfe</w:t>
      </w:r>
    </w:p>
    <w:p>
      <w:r>
        <w:t>Frau Kraus vermerkte am 12. Mai die interne Entscheidungsreife. Am 19. Mai lag ein Bescheidentwurf zur Unterschrift vor. Dieser übernahm aus einem anderen Vorgang einen Maschinen- und Lieferbetrieb, weil der Dateiname „Werkraum“ missverstanden und die Betriebsbeschreibung nicht erneut gelesen wurde. Der Bescheid vom 2. Juni, zugestellt am 5. Juni, versagte deshalb die Genehmigung wegen eines Vorhabens, das die Klägerin nicht beantragt hatte. Den tatsächlich beantragten Bürobetrieb behandelte er als nicht beantragt.</w:t>
      </w:r>
    </w:p>
    <w:p>
      <w:r>
        <w:t>Beweis: Versagungsbescheid und Bearbeitungsvermerk vom 28. Juli, Anlagen K2 und K4; Zeugnis von Yasemin Kraus sowie Wolfram Reuther, jeweils zu laden über die Bauaufsicht. Der Vermerk ist eine nachträgliche Rekonstruktion der Vorgänge und wird als solche eingeführt.</w:t>
      </w:r>
    </w:p>
    <w:p>
      <w:r>
        <w:t>Am 17. Juni erhob die Prozessbevollmächtigte Verpflichtungsklage beim Bayerischen Verwaltungsgericht Würzburg und machte den Widerspruch zwischen Antrag und Bescheid geltend. Der bestätigte elektronische Eingang erfolgte um 14:08 Uhr. Die Behörde sagte Prüfung bis Ende der folgenden Woche zu. Am 23. Juni erkannte sie die Zuordnungsfrage, gab jedoch die angekündigte Rückmeldung nicht. Die Bevollmächtigte erinnerte am 30. Juni telefonisch und am 7. Juli schriftlich. Die erneute Ortsprüfung erfolgte erst am 21. Juli und brachte keine neue Anforderung. Am 3. August wurde der ablehnende Bescheid aufgehoben und das unveränderte Vorhaben genehmigt; die Zustellung an die Bevollmächtigte erfolgte am 4. August.</w:t>
      </w:r>
    </w:p>
    <w:p>
      <w:r>
        <w:t>Beweis: Bestätigung der Klageeinreichung, Bearbeitungsvermerk und Abhilfebescheid, Anlagen K3 bis K5. Die elektronische Eingangsbestätigung kann bei Bestreiten aus der anwaltlichen Handakte vorgelegt werden. Es wird keine bereits vorliegende gerichtliche Haftungsfeststellung behauptet. Nach der Abhilfe wurde die Hauptsache für erledigt erklärt. Über dortige Kosten wird in jenem Verfahren entschieden; sie werden nicht doppelt beansprucht.</w:t>
      </w:r>
    </w:p>
    <w:p>
      <w:pPr>
        <w:pStyle w:val="Heading1"/>
      </w:pPr>
      <w:r>
        <w:t>5 Rechtmäßiger Ablauf und Ausbaumöglichkeit</w:t>
      </w:r>
    </w:p>
    <w:p>
      <w:r>
        <w:t>Die Klägerin hatte seit 1. Juni eine feste Mietbindung von monatlich 420,00 EUR. Die Umgestaltung durfte nach dem Mietvertrag und dem öffentlich-rechtlichen Verfahrensstand erst nach Freigabe beginnen. Herr Fridolin Aumüller hatte am 13. Mai telefonisch ein konkretes, von Genehmigung und anschließendem Bauauftrag abhängiges Zeitfenster genannt: Genehmigung bis 20. Mai, Beginn am 22. Mai, Elektro und Heizung am 26./27. Mai, Fertigstellung bis 29. Mai mit Puffer bis 31. Mai. Die Klägerin erklärte telefonisch ihre entsprechende Absicht. Eine schriftliche Terminreservierung gegenüber der Klägerin bestand nicht. Der Unternehmer hielt die bedingte Kapazitätsplanung intern im Kalender fest. Die formelle Schlüsselübergabe an die Klägerin war erst für den 1. Juni vereinbart und erfolgte auch erst dann. Daneben hatte Herr Aumüller am 14. Mai unmittelbar mit dem Vermieter vereinbart, dass dieser nach Vorlage der Genehmigung an den Bautagen ab 22. Mai auf- und abschließen würde. Damit war lediglich der Handwerkerzugang, keine vorzeitige Schlüsselüberlassung oder Büronutzung der Klägerin gemeint. Materialien und berechneter Sturz waren verfügbar. Die Schlussrechnung über insgesamt 8.000,00 EUR hätte Ende Mai gestellt werden können. Tatsächlich wurde derselbe Leistungsumfang nach der Genehmigung vom 6. bis 14. August ausgeführt.</w:t>
      </w:r>
    </w:p>
    <w:p>
      <w:r>
        <w:t>Beweis: Mietvertrag und Zahlungs-/Nutzungsnachweis, Anlagen K6 und K8; neue Terminbestätigung, Anlage K11; Zeugnis des Fridolin Aumüller und des Milan Arendt, beide zu laden über Aumüller Ausbau, Schilfkornweg 16, 97076 Würzburg; Zeugnis der Jana Rebhuhn, Rebhuhn Elektrotechnik, Kornmalvenweg 3, 97076 Würzburg, zu ihrem reservierten Termin. Zum gesondert vereinbarten Handwerkerzugang wird außerdem Zeugnis des Alfons Späth, Haselkornbogen 7, 97074 Würzburg, angeboten. Die nachgereichte Bestätigung konkretisiert die schon zuvor erwähnte mündliche Verfügbarkeit durch einen internen Kalendereintrag und benannte Mitarbeiter; eine damals erteilte schriftliche Reservierung wird weiterhin nicht behauptet.</w:t>
      </w:r>
    </w:p>
    <w:p>
      <w:r>
        <w:t>Die Klägerin behauptet, bei inhaltlich richtiger Prüfung des seit 12. Mai entscheidungsreifen Antrags hätte die Beklagte spätestens am 20. Mai genehmigen und die Entscheidung bekannt geben können. Das ist keine gesetzliche starre Bearbeitungsfrist und folgt nicht allein aus dem Wunsch der Klägerin. Maßgeblich sind die bereits erreichte Entscheidungsreife und der tatsächlich am 19. Mai zur Zeichnung vorliegende Entwurf. Die noch ausstehende Schlusskontrolle wird nicht verschwiegen. Deren bei richtiger Zuordnung nötiger Umfang und Dauer sind streitig. Die Beklagte kann derzeit keinen zusätzlichen materiellen Ablehnungsgrund nennen, rekonstruiert aber keinen sicheren hypothetischen Zeichnungstag.</w:t>
      </w:r>
    </w:p>
    <w:p>
      <w:r>
        <w:t>Beweis: Anlagen K4 und K14; Zeugnis der genannten Bearbeiter zu offen gebliebenen Kontrollschritten. Zur konkreten technischen Ausführbarkeit bis Ende Mai wird bei substantiiertem Bestreiten ergänzend ein Bausachverständigengutachten auf Grundlage der eingereichten Planung und der festgestellten Personal-/Materialverfügbarkeit angeboten. Ein Sachverständiger soll keine unbekannten behördlichen Terminentatsachen ersetzen.</w:t>
      </w:r>
    </w:p>
    <w:p>
      <w:pPr>
        <w:pStyle w:val="Heading1"/>
      </w:pPr>
      <w:r>
        <w:t>6 Konkreter entgangener Auftrag</w:t>
      </w:r>
    </w:p>
    <w:p>
      <w:r>
        <w:t>Am 11. Mai hatte die Formblatt Innenräume GmbH ein zusammengehörendes Paket aus zwei Material- und Farbberatungen am 12. Juni und 10. Juli zu 1.080,00 EUR netto fest beauftragt. Es handelte sich um Büro- und Beratungstätigkeit, nicht um die vom Bescheid fälschlich angenommene Werkstatt. Ein abgeschlossener Raum war wegen vertraulicher noch unveröffentlichter Entwürfe vereinbart. Die Kundin verfügte wegen ihres eigenen Ladenumbaus über keinen geeigneten Besprechungsraum. Ein offener Ausweichplatz oder eine Videokonferenz war nicht akzeptiert. Die Klägerin hätte die Arbeit persönlich erbringen können; es fehlte die vereinbarte nutzbare Räumlichkeit.</w:t>
      </w:r>
    </w:p>
    <w:p>
      <w:r>
        <w:t>Als am 8. Juni feststand, dass der Ausbau noch nicht begonnen hatte und der erste Termin nicht stattfinden konnte, beendete die Kundin das Paket aufgrund der vereinbarten Terminregelung ohne Vergütung. Die zweite Beratung setzte die erste voraus. Ein anderes Büro erhielt am 9. Juni den Auftrag. Die Termine wurden bei der Klägerin nicht nachgeholt; weder eine Stornopauschale noch ein Honorar für Vorarbeiten wurde gezahlt. Es gab keinen ersetzenden vergüteten Auftrag. Die eigenen allgemeinen Bürovorbereitungen der Klägerin führten zu keiner zusätzlichen Einnahme.</w:t>
      </w:r>
    </w:p>
    <w:p>
      <w:r>
        <w:t>Beweis: Bestätigung der Kundin, Anlage K10; Zeugnis der Aurelia Gharbi, zu laden über Formblatt Innenräume GmbH, Rosmarinlaubenweg 4, 97074 Würzburg, zu Vertrag, Terminabhängigkeit, Absagegrund, fehlender Nachholung und Zahlung; persönliche Anhörung der Klägerin zur Durchführungsmöglichkeit und zu Ersatzaufträgen. Die Kundin bestätigt freigegebenes Budget und Zahlungsfähigkeit. Damit wird kein bloßer Umsatzplan eines noch nicht eröffneten Betriebs vorgelegt.</w:t>
      </w:r>
    </w:p>
    <w:p>
      <w:r>
        <w:t>Die Beklagte darf nach Ersatzräumen und Teilrettung des Auftrags fragen. Die Klägerin trägt vor, ihre Wohnung habe keinen abgeschlossenen geeigneten Besprechungsraum geboten; eine andere bezahlte Ersatzanmietung ist nicht erfolgt. Der Vertrag verpflichtete die Kundin nicht, auf ein offenes oder fernmündliches Format auszuweichen. Ob eine rechtzeitig verfügbare zumutbare Alternative bestand, bleibt gegebenenfalls anhand eines konkreten Angebots zu prüfen. Eine beliebige theoretische Raumverfügbarkeit irgendwo in der Stadt beweist noch keine zumutbare Rettungsmöglichkeit vor dem festgelegten Freigabetermin.</w:t>
      </w:r>
    </w:p>
    <w:p>
      <w:pPr>
        <w:pStyle w:val="Heading1"/>
      </w:pPr>
      <w:r>
        <w:t>7 Anspruchsgrund und Schadensvergleich</w:t>
      </w:r>
    </w:p>
    <w:p>
      <w:r>
        <w:t>Die Beklagte verletzte schuldhaft die der Klägerin geschuldete Amtspflicht zur zutreffenden Bescheidung, § 839 Abs. 1 BGB in Verbindung mit Art. 34 GG. Der Fehler war bei einfacher Lektüre der richtigen Betriebsbeschreibung vermeidbar. Die Pflicht schützt die Antragstellerin gerade auch vor wirtschaftlichen Nachteilen, die durch ein rechtswidriges Verhindern der beantragten Nutzung entstehen. Der maßgebliche Vergleich ist die rechtzeitige rechtmäßige Bescheidung, nicht eine Garantie des geschäftlichen Erfolgs. Vgl. BGH, Urteil vom 25. Oktober 2007 – III ZR 62/07, Rn. 10–13. Die spätere Genehmigung ist hierfür ein gewichtiges Beweismittel, aber kein Ersatz für die Prüfung des damals möglichen Ablaufs.</w:t>
      </w:r>
    </w:p>
    <w:p>
      <w:r>
        <w:t>Die Klägerin ersetzt ihre frühere Aufstellung von 880,00 EUR vollständig. Die ursprüngliche Forderung vom 30. September ist als Anlage K9 beigefügt; die ausdrücklich ersetzende neue Berechnung vom 2. Oktober wurde der Beklagten mit Anlage K13 übermittelt. Die fixe Miete von 840,00 EUR für Juni und Juli fällt im tatsächlichen und im hypothetischen Verlauf gleichermaßen an. Sie wird nicht nochmals als Schaden addiert. Gewerbliche Mieten bilden nicht schon deshalb eine zusätzliche Vermögenseinbuße, weil die Räume vorübergehend nicht wie geplant nutzbar waren. Entscheidend ist hier der konkret belegte Ausfall eines Auftrags.</w:t>
      </w:r>
    </w:p>
    <w:p>
      <w:r>
        <w:t>Von 1.080,00 EUR Nettohonorar sind 180,00 EUR netto ersparte Fremddruckkosten für die nicht hergestellten Materialmappen abzuziehen. Die Klägerin stützt diesen Betrag auf das damalige Angebot von Otmar Selim, Druckerei Papierfächer, Malvenlaubenweg 8, 97076 Würzburg, dessen Zeugnis zu Preisangebot und Nichtbestellung angeboten wird. Die Kundin kennt nur die Kalkulationsangabe der Klägerin und wird dafür nicht als unmittelbare Zeugin des Druckangebots benannt. Weitere variable Fremdkosten wären nach dieser Kalkulation nicht angefallen. Die eigene Arbeitsleistung begründet keinen fiktiven zu zahlenden Lohnabzug; tatsächlich erzielte Ersatzverdienste wären jedoch zu berücksichtigen und werden verneint.</w:t>
      </w:r>
    </w:p>
    <w:p>
      <w:r>
        <w:t>Damit verbleiben 900,00 EUR entgangener Deckungsbeitrag nach §§ 249, 252 BGB. Umsatzsteuer auf eine nicht erbrachte Leistung wird nicht beansprucht. Bei planmäßiger Fertigstellung wären nach Vorlage der Schlussrechnung 8.000,00 EUR zum 1. Juni abgerufen worden. Hierfür wären bei sechs Prozent jährlich für Juni und Juli 80,00 EUR reguläre Zinsen angefallen. Tatsächlich zahlte die Klägerin nur 40,00 EUR Bereitstellungszinsen. Die ersparten 40,00 EUR werden abgezogen. Der Antrag beläuft sich folglich auf 860,00 EUR.</w:t>
      </w:r>
    </w:p>
    <w:p>
      <w:r>
        <w:t>Beweis: Bankabrechnung und ergänzende Finanzierungsbestätigung, Anlagen K7 und K12; Zeugnis der Beate Heckenast, zu laden über Genossenschaftliche Musterbank Mainlaub eG, Buchenfächerweg 10, 97070 Würzburg. Die Bankauskunft bestätigt die Konditionen, nicht den hypothetischen Fertigstellungstag. Die Rechnung lautet vollständig: rechtmäßiger Verlauf 1.080,00 EUR Einnahme abzüglich 180,00 EUR Druck und 80,00 EUR Kreditzinsen gleich 820,00 EUR; tatsächlicher Verlauf keine Einnahme und 40,00 EUR Bereitstellung gleich minus 40,00 EUR. Der Unterschied beträgt 860,00 EUR. Identische Fixkosten sind aus beiden Seiten herausgekürzt.</w:t>
      </w:r>
    </w:p>
    <w:p>
      <w:pPr>
        <w:pStyle w:val="Heading1"/>
      </w:pPr>
      <w:r>
        <w:t>8 Rechtsschutz und Schadensminderung</w:t>
      </w:r>
    </w:p>
    <w:p>
      <w:r>
        <w:t>Die Klägerin erhob am 17. Juni innerhalb der durch Zustellung am 5. Juni ausgelösten Monatsfrist Verpflichtungsklage. Nach Art. 12 Abs. 2 AGVwGO war in dieser Bausache grundsätzlich unmittelbar zu klagen; ein zusätzliches Widerspruchsverfahren wird nicht behauptet. Sie forderte Abhilfe und ließ nach der angekündigten, dann ausgebliebenen Prüfung mehrfach nachfassen. Es trifft daher nicht zu, sie habe die Versagung widerspruchslos hingenommen.</w:t>
      </w:r>
    </w:p>
    <w:p>
      <w:r>
        <w:t>Ein Antrag nach § 123 VwGO wurde nicht gestellt. Für § 839 Abs. 3 BGB bleibt zu prüfen, ob ein solcher zumutbarer Antrag den konkret eingeklagten Schaden hätte verhindern können. Das Beratungspaket war bereits am 8. Juni insgesamt entfallen und am 9. Juni anderweitig vergeben. Ein erst bei Klageerhebung am 17. Juni beantragter Eilrechtsschutz hätte diesen Verlust nicht ohne Weiteres rückgängig gemacht. Auch ein sofortiger Antrag nach Zustellung am 5. Juni hätte Genehmigung, Ausbau und Rückgewinnung des festen Termins rechtzeitig ermöglichen müssen. Eine sichere Eilentscheidung innerhalb dieses engen Ablaufs wird nicht unterstellt. Für die bereits früher fehlende rechtzeitige Entscheidung sind die im Mai erreichte Entscheidungsreife und die konkreten Kenntnismöglichkeiten der Klägerin gesondert zu würdigen.</w:t>
      </w:r>
    </w:p>
    <w:p>
      <w:r>
        <w:t>Die Klägerin darf nicht allein deshalb mit einem Mitverschulden belastet werden, weil sie vor Erteilung der Genehmigung einen Mietvertrag abschloss. Die individuellen Risiken des festen Mietbeginns und der Kundenbindung sind gleichwohl nach § 254 BGB zu betrachten. Hier verlangt sie keine grenzenlose Übernahme aller Betriebsrisiken. Sie benennt einen konkreten Auftrag, zieht ersparte Kosten ab und legt die unsichere hypothetische Entscheidung bis 20. Mai offen. Sollte das Gericht eine rechtmäßige Bekanntgabe erst zu einem späteren Zeitpunkt feststellen, wären Ausbautermin und Auftragserhalt neu zu beurteilen; der beantragte Betrag folgt nicht automatisch aus dem bloßen Fehler des Ablehnungsbescheids.</w:t>
      </w:r>
    </w:p>
    <w:p>
      <w:r>
        <w:t>Eine realisierbare anderweitige Ersatzmöglichkeit für diesen Schaden ist nicht festgestellt. Weder Vermieter noch Kundin haben eine zugesagte Pflicht zur Beschaffung der Baugenehmigung übernommen. Ein anwaltliches Fehlverhalten wird durch den bewussten Verzicht auf einen angesichts des bereits verlorenen Pakets zweifelhaften Eilantrag nicht ohne konkrete Kausalitätsprüfung behauptet.</w:t>
      </w:r>
    </w:p>
    <w:p>
      <w:pPr>
        <w:pStyle w:val="Heading1"/>
      </w:pPr>
      <w:r>
        <w:t>9 Zinsen und Umfang des Entwurfs</w:t>
      </w:r>
    </w:p>
    <w:p>
      <w:r>
        <w:t>Der Zinsantrag folgt aus §§ 291, 288 Abs. 1 BGB. Er beginnt erst am Tag nach einer tatsächlichen künftigen Zustellung. Neun Prozentpunkte für Entgeltforderungen werden nicht verlangt. Die Genehmigung ist erteilt; dieser Entwurf verfolgt nur den neu berechneten, früher noch nicht verlangten konkreten Vermögensnachteil. Eine Zahlung auf die bisherige oder neue Forderung ist nicht erfolgt.</w:t>
      </w:r>
    </w:p>
    <w:p>
      <w:r>
        <w:t>Anja Weller</w:t>
        <w:br/>
        <w:t>Rechtsanwältin</w:t>
        <w:br/>
        <w:t>Entwurfsfassung ohne Unterschrift und ohne Einreichung</w:t>
      </w:r>
    </w:p>
    <w:p>
      <w:pPr>
        <w:pStyle w:val="Heading1"/>
      </w:pPr>
      <w:r>
        <w:t>10. Anlagenverzeichnis</w:t>
      </w:r>
    </w:p>
    <w:p>
      <w:r>
        <w:t>K1: Betriebsbeschreibung, Wandöffnung und Vollständigkeitsvermerk</w:t>
        <w:br/>
        <w:t>Datei: 02_Antragsbeschreibung.docx</w:t>
      </w:r>
    </w:p>
    <w:p>
      <w:r>
        <w:t>K2: Versagung aufgrund eines nicht beantragten Maschinenbetriebs</w:t>
        <w:br/>
        <w:t>Datei: 03_Versagungsbescheid.docx</w:t>
      </w:r>
    </w:p>
    <w:p>
      <w:r>
        <w:t>K3: Bestätigung der rechtzeitig erhobenen Verpflichtungsklage</w:t>
        <w:br/>
        <w:t>Datei: 04_Klage.eml</w:t>
      </w:r>
    </w:p>
    <w:p>
      <w:r>
        <w:t>K4: Entscheidungsreife, Zuordnungsfehler und Abhilfebearbeitung</w:t>
        <w:br/>
        <w:t>Datei: 05_Bearbeitungsvermerk.docx</w:t>
      </w:r>
    </w:p>
    <w:p>
      <w:r>
        <w:t>K5: Genehmigung des unveränderten Vorhabens vom 03.08.2026</w:t>
        <w:br/>
        <w:t>Datei: 06_Abhilfe_Genehmigung.docx</w:t>
      </w:r>
    </w:p>
    <w:p>
      <w:r>
        <w:t>K6: Feste Raummiete ab Juni</w:t>
        <w:br/>
        <w:t>Datei: 07_Mietvertrag.docx</w:t>
      </w:r>
    </w:p>
    <w:p>
      <w:r>
        <w:t>K7: Tatsächlich berechnete Bereitstellungszinsen</w:t>
        <w:br/>
        <w:t>Datei: 08_Bankabrechnung.docx</w:t>
      </w:r>
    </w:p>
    <w:p>
      <w:r>
        <w:t>K8: Mietzahlungen, Zwischennutzung und tatsächlicher Ausbau</w:t>
        <w:br/>
        <w:t>Datei: 09_Zahlungsnachweis.docx</w:t>
      </w:r>
    </w:p>
    <w:p>
      <w:r>
        <w:t>K9: Ursprüngliche, nun ersetzte Forderungsberechnung</w:t>
        <w:br/>
        <w:t>Datei: 10_Forderung.eml</w:t>
      </w:r>
    </w:p>
    <w:p>
      <w:r>
        <w:t>K10: Bestätigung eines entfallenen verbindlichen Beratungspakets</w:t>
        <w:br/>
        <w:t>Datei: schriftverkehr-und-klage/11_Kundenauftrag.eml</w:t>
      </w:r>
    </w:p>
    <w:p>
      <w:r>
        <w:t>K11: Konkrete damalige Handwerkerverfügbarkeit</w:t>
        <w:br/>
        <w:t>Datei: schriftverkehr-und-klage/12_Ausbaukapazitaet.eml</w:t>
      </w:r>
    </w:p>
    <w:p>
      <w:r>
        <w:t>K12: Zinsen bei planmäßigem Abruf und tatsächliche Bereitstellung</w:t>
        <w:br/>
        <w:t>Datei: schriftverkehr-und-klage/13_Finanzierungsvergleich.eml</w:t>
      </w:r>
    </w:p>
    <w:p>
      <w:r>
        <w:t>K13: Ersetzende Differenzberechnung über 860,00 EUR</w:t>
        <w:br/>
        <w:t>Datei: schriftverkehr-und-klage/14_Neuberechnung.pdf</w:t>
      </w:r>
    </w:p>
    <w:p>
      <w:r>
        <w:t>K14: Einwendungen zu Zeitpunkt, Kundenabsage und Eilrechtsschutz</w:t>
        <w:br/>
        <w:t>Datei: schriftverkehr-und-klage/15_Antwort_Stadt.pdf</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Klageentwurf Adebayo gegen Stadt Würzburg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