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Sesam gegen Stadt Lindenquell</w:t>
      </w:r>
    </w:p>
    <w:p>
      <w:r>
        <w:t>ENTWURF – nicht eingereicht</w:t>
        <w:br/>
        <w:t>Stand: 05.10.2026</w:t>
      </w:r>
    </w:p>
    <w:p>
      <w:r>
        <w:t>Rechtsanwältin Leonie von Tann, Mohnanger 8, 97082 Lindenquell bei Würzburg</w:t>
        <w:br/>
        <w:t>An das Landgericht Würzburg</w:t>
        <w:br/>
        <w:t>Ottostraße 5, 97070 Würzburg</w:t>
      </w:r>
    </w:p>
    <w:p>
      <w:r>
        <w:t>Klage</w:t>
      </w:r>
    </w:p>
    <w:p>
      <w:r>
        <w:t>Leander Sesam, Kerbelring 18, 97082 Lindenquell bei Würzburg</w:t>
        <w:br/>
        <w:t>– klagende Partei –</w:t>
      </w:r>
    </w:p>
    <w:p>
      <w:r>
        <w:t>Prozessbevollmächtigte: Rechtsanwältin Leonie von Tann, Mohnanger 8, 97082 Lindenquell bei Würzburg</w:t>
      </w:r>
    </w:p>
    <w:p>
      <w:r>
        <w:t>gegen</w:t>
      </w:r>
    </w:p>
    <w:p>
      <w:r>
        <w:t>Stadt Lindenquell, vertreten durch den Ersten Bürgermeister Anselm Buchner, Rathausplatz 1, 97082 Lindenquell bei Würzburg</w:t>
        <w:br/>
        <w:t>– beklagte Partei –</w:t>
      </w:r>
    </w:p>
    <w:p>
      <w:r>
        <w:t>wegen Schadensersatz</w:t>
        <w:br/>
        <w:t>Vorläufiger Streitwert: 3.011,40 EUR</w:t>
        <w:br/>
        <w:t>Aktenzeichen der Prozessbevollmächtigten: VT 26/106</w:t>
      </w:r>
    </w:p>
    <w:p>
      <w:pPr>
        <w:pStyle w:val="Heading1"/>
      </w:pPr>
      <w:r>
        <w:t>1 Anträge</w:t>
      </w:r>
    </w:p>
    <w:p>
      <w:r>
        <w:t>Namens und in Vollmacht des Klägers wird beantragt, die Beklagte zu verurteilen, an den Kläger 3.011,40 EUR nebst Zinsen in Höhe von fünf Prozentpunkten über dem jeweiligen Basiszinssatz seit dem auf die Zustellung der Klage folgenden Tag zu zahlen. Ferner wird beantragt, der Beklagten die Kosten des Rechtsstreits aufzuerlegen.</w:t>
      </w:r>
    </w:p>
    <w:p>
      <w:pPr>
        <w:pStyle w:val="Heading1"/>
      </w:pPr>
      <w:r>
        <w:t>2 Anspruchsgegenstand und Zuständigkeit</w:t>
      </w:r>
    </w:p>
    <w:p>
      <w:r>
        <w:t>Der Kläger verlangt Ersatz der Reparatur seines privaten Kombis und eines Ersatzwagens für zwei Werkstatttage. Am 03.09.2026 gegen 08:23 Uhr traf ein bei angeordneten Pflegearbeiten abgetrennter Ast des kommunalen Straßenahorns KR18 das vor Kerbelring 18 abgestellte Fahrzeug. Die Beklagte hatte die Arbeiten veranlasst und die Räumung des Arbeitsbereichs sowie seine abschnittsweise Freigabe selbst übernommen. Der Kläger stützt seine Forderung insbesondere auf die bei der Stadt verbliebene Sicherungs- und Koordinationspflicht.</w:t>
      </w:r>
    </w:p>
    <w:p>
      <w:r>
        <w:t>Der Kerbelring ist eine gewidmete Ortsstraße in der Baulast der Beklagten; der Ahorn gehört als Straßenbaum zur öffentlichen Anlage. Die konkrete Arbeit diente der Beseitigung eines frisch gespaltenen, auskragenden Astes. Nach Art. 9 Abs. 5 BayStrWG ist die Straßenverkehrssicherung öffentliche Aufgabe. Der Anspruch wird deshalb aus § 839 Abs. 1 BGB in Verbindung mit Art. 34 GG hergeleitet. Das Landgericht ist unabhängig vom Streitwert nach § 71 Abs. 2 Nr. 2 GVG sachlich und wegen des im Bezirk gelegenen Schadensorts nach § 32 ZPO örtlich zuständig.</w:t>
      </w:r>
    </w:p>
    <w:p>
      <w:pPr>
        <w:pStyle w:val="Heading1"/>
      </w:pPr>
      <w:r>
        <w:t>3 Auftrag, Absperrung und Schadensablauf</w:t>
      </w:r>
    </w:p>
    <w:p>
      <w:r>
        <w:t>Am 31.08.2026 stellte die städtische Baumkontrolle den frischen Spalt fest. Mit Auftrag 26-B47 vom 01.09.2026 bestimmte die Beklagte den Baum, den markierten Schnittbereich und den Arbeitstag. Das Unternehmen Astwerk Amal Berg GmbH sollte die Schnitttechnik, Geräte, Seilführung und Besetzung fachlich selbst festlegen. Die Beklagte übernahm dagegen die Parkraumfreimachung, Absperrung und abschnittsweise Arbeitsfreigabe. Solange Fahrzeuge im Fallbereich standen, sollte der betroffene Abschnitt nicht bearbeitet werden.</w:t>
      </w:r>
    </w:p>
    <w:p>
      <w:r>
        <w:t>Beweis: Arbeitsauftrag, Anlage K1; Zeugnis des Ottokar Zwirn, zu laden über Stadt Lindenquell, Bauhof, Amselspange 2, 97082 Lindenquell; Zeugnis des Ravi König, Astwerk Amal Berg GmbH, Scherenbogen 4, 97082 Lindenquell. Diese Aufteilung ist für die Haftung entscheidend: Der Kläger behauptet nicht, dass die Stadt jeden einzelnen technischen Handgriff vorgegeben hätte. Er beruft sich darauf, dass die Stadt gerade die grundlegende räumliche Sicherung selbst in der Hand behielt.</w:t>
      </w:r>
    </w:p>
    <w:p>
      <w:r>
        <w:t>Um 07:40 Uhr stand der schwarze Kombi des Klägers weiterhin in der mittleren Parkbucht. Um 07:55 Uhr wurden Baken gestellt. Zwirn bat einen Kollegen, bei Anwohnern zu klingeln. Gegen 08:10 Uhr erteilte er nach seinem Vermerk nur eine Freigabe für den bereits freien südlichen Bereich. Der Vorarbeiter König verstand die Äußerung weitergehend. Eine gemeinsame Skizze, eindeutige Markierung der Freigabegrenze oder gegengezeichnete Freigabe existiert in den vorliegenden Unterlagen nicht. Das Tagesblatt vermerkt nur den Beginn um 08:10 Uhr.</w:t>
      </w:r>
    </w:p>
    <w:p>
      <w:r>
        <w:t>Um 08:20 Uhr telefonierte Zwirn wegen einer möglichen Entfernung des weiterhin geparkten Fahrzeugs mit der Disposition. Drei Minuten später blieb bei der Schnittarbeit ein Seil an einer Astgabel hängen. Das Holz schwenkte aus und traf Dach und Heckscheibe des Kombis. Ein unmittelbarer Kontakt des Fahrzeugs mit Werkzeug oder Arbeitskorb ist nicht behauptet. Beweis: Absperrvermerk, Anlage K2; Ereignisbericht, Anlage K3; ergänzende Stellungnahmen, Anlagen K8 und K10; Zeugnisse Zwirn und König. Die Mitarbeiterin Inés Waldner ist für die beobachtete Ausführung ebenfalls über das Unternehmen zu laden.</w:t>
      </w:r>
    </w:p>
    <w:p>
      <w:r>
        <w:t>Fadime Lenz sah vom gegenüberliegenden Kiosk aus Baken, den noch dort stehenden Wagen und den telefonierenden städtischen Mitarbeiter. Sie hörte die Freigabe nicht. Ihr Zeugnis wird für diese äußeren Umstände angeboten, nicht für den Wortlaut eines ungehörten Gesprächs. Ladungsanschrift: Kiosk Fadime Lenz, Kerbelring 17, 97082 Lindenquell. Ihre E-Mail ist Anlage K4. Das Schadensereignis wird dadurch mit zeitnahen Wahrnehmungen aus verschiedenen Blickrichtungen verknüpft, ohne eine vollständige Augenzeugenschaft aller Beteiligten zu unterstellen.</w:t>
      </w:r>
    </w:p>
    <w:p>
      <w:pPr>
        <w:pStyle w:val="Heading1"/>
      </w:pPr>
      <w:r>
        <w:t>4 Eigene Amtspflichtverletzung der Stadt</w:t>
      </w:r>
    </w:p>
    <w:p>
      <w:r>
        <w:t>Die Beklagte musste die aktiven Arbeiten so organisieren, dass vorhersehbar gefährdetes fremdes Eigentum im betroffenen Bereich geschützt wurde. Der Kläger stand mit seinem Wagen gerade in der Zone, deren Räumung die Stadt übernommen hatte. Selbst wenn eine Teilfreigabe zulässig war, musste für das ausführende Team unmissverständlich erkennbar sein, welcher Abschnitt gesperrt blieb. Angesichts des für alle sichtbaren Fahrzeugs reichte ein undifferenzierter Arbeitsbeginn ohne verlässlich vermittelte Grenze nicht aus.</w:t>
      </w:r>
    </w:p>
    <w:p>
      <w:r>
        <w:t>Der Anspruch setzt keine Pflicht voraus, jedes denkbare Restrisiko auszuschließen. Der konkrete Schutz war hier zumutbar: Arbeit am betroffenen Ast erst nach tatsächlicher Räumung oder nach einer fachlich gesicherten, eindeutig abgestimmten Abgrenzung. Die Stadt musste nicht selbst die optimale Seiltechnik erfinden. Sie durfte aber das von ihr verantwortete Freigabesystem nicht so führen, dass ein bekanntes Hindernis im Gefahrenbereich bei bereits laufender Arbeit verblieb. Die zeitgleiche Rückfrage wegen Abschleppens belegt, dass die Beseitigung dieses Hindernisses noch ungelöst war.</w:t>
      </w:r>
    </w:p>
    <w:p>
      <w:r>
        <w:t>BGH, Urteil vom 04.07.2013 – III ZR 250/12, Rn. 13–18, behandelt zumutbare Sicherungsmaßnahmen bei aktiven Straßenunterhaltungsarbeiten. Die dort erörterten Schutzmaßnahmen bei Mäharbeiten sind keine technische Anleitung für Baumpflege. Übertragbar ist die Pflicht, konkret vorhersehbare Eigentumsschäden bei der gewählten Arbeitsweise mit zumutbaren Mitteln zu verhindern. Hier werden Räumung, klare Freigabegrenzen und Unterbrechung beansprucht, keine bestimmte Schutzwand aus einem anderen Sachverhalt.</w:t>
      </w:r>
    </w:p>
    <w:p>
      <w:r>
        <w:t>Bei klar vermitteltem und beachtetem Stopp des betroffenen Abschnitts wäre der Schnitt mit dem Wagen im Schwenkbereich nicht ausgeführt worden. Darin liegt der Zusammenhang zwischen dem vorgeworfenen Koordinationsfehler und dem Schaden. Sollte die Beklagte behaupten, das Unternehmen habe eine unmissverständliche ausdrückliche Sperre eigenmächtig übergangen, sind der tatsächliche Wortlaut, seine Wahrnehmbarkeit und die räumliche Zuordnung durch die genannten Zeugen zu klären. Der Kläger leitet nicht schon aus dem bloßen Schadenseintritt einen städtischen Fehler ab.</w:t>
      </w:r>
    </w:p>
    <w:p>
      <w:pPr>
        <w:pStyle w:val="Heading1"/>
      </w:pPr>
      <w:r>
        <w:t>5 Stellung des Fachunternehmens und anderweitiger Ersatz</w:t>
      </w:r>
    </w:p>
    <w:p>
      <w:r>
        <w:t>Zusätzlich kommt eine Zurechnung der konkreten Ausführung als hoheitliche Helfertätigkeit in Betracht. Maßgeblich sind Auftrag und tatsächliche Einbindung insgesamt. Baum, Schnittziel, Zeitpunkt und abschnittsweise Freigabe stammten von der Stadt. Das Unternehmen war zugleich fachlich frei in Seilführung, Geräten und Personaleinsatz. Diese technische Selbstständigkeit ist ein gewichtiges Gegenargument, schließt einen funktionellen Helferzusammenhang aber nicht allein durch die Rechtsform des Unternehmens aus.</w:t>
      </w:r>
    </w:p>
    <w:p>
      <w:r>
        <w:t>BGH, Urteil vom 11.01.2024 – III ZR 15/23, Rn. 9 und 11–17, stellt auf den funktionellen Aufgabenbezug und den Einfluss der öffentlichen Hand ab. Die Entscheidung betraf die Umsetzung einer konkreten Beschilderungsanordnung. Der Kläger setzt daher nicht jeden kommunalen Auftrag mit einem Verwaltungshelferverhältnis gleich. Die vorliegenden Weisungs- und Freigabeelemente sind vielmehr an diesen Kriterien zu würdigen. Wird die Tätigkeit als hoheitliche Hilfe eingeordnet, ist die haftungsrechtliche Überleitung nach Art. 34 GG auch für den Ausführungsfehler zu beachten.</w:t>
      </w:r>
    </w:p>
    <w:p>
      <w:r>
        <w:t>Wird das Unternehmen dagegen als selbstständiger privater Leistungserbringer eingeordnet, bleibt die eigene städtische Sicherungspflicht als gesonderter Haftungsgrund bestehen. Ein denkbarer deliktischer Anspruch gegen das Unternehmen wird nicht verschwiegen. Der Einwand aus § 839 Abs. 1 Satz 2 BGB trägt hier dennoch nicht: Die beanstandete Pflicht zur Sicherung des Arbeits- und Verkehrsbereichs entspricht inhaltlich der allgemeinen Verkehrssicherungspflicht. Für diesen Bereich greift das Verweisungsprivileg nicht ein; vgl. OLG Hamm, Urteil vom 06.04.2022 – 11 U 143/21, Rn. 25, amtlicher Volltext. Dort war ebenfalls eine mögliche Haftung des ausführenden Unternehmens zu berücksichtigen. Nordrhein-westfälisches Straßenrecht wird nicht auf die bayerische Aufgabe übertragen.</w:t>
      </w:r>
    </w:p>
    <w:p>
      <w:r>
        <w:t>Es geht nicht um einen allein hoheitlich geprägten Entscheidungsfehler bei einer straßenverkehrsrechtlichen Anordnung, sondern um die konkrete Sicherung einer betriebenen Arbeitsstelle. Der Kläger muss daher keine unbelegte Insolvenz des Unternehmens behaupten. Die Stadt kann ihre Außenverantwortung nicht allein mit dem Hinweis auf dessen Betriebshaftpflicht verneinen. Ein möglicher Innenausgleich zwischen Stadt und Unternehmen ist nicht Gegenstand dieser Klage; der Kläger verlangt die Summe nur einmal.</w:t>
      </w:r>
    </w:p>
    <w:p>
      <w:pPr>
        <w:pStyle w:val="Heading1"/>
      </w:pPr>
      <w:r>
        <w:t>6 Reparatur und Ersatzmobilität</w:t>
      </w:r>
    </w:p>
    <w:p>
      <w:r>
        <w:t>Die Karosserie Hedwig Halm GmbH reparierte das Fahrzeug am 10. und 11.09.2026. Die Rechnung umfasst netto 800,00 EUR Dachinstandsetzung, 720,00 EUR Lackierung, 460,00 EUR Heckscheibe, 380,00 EUR Einbau und 100,00 EUR Reinigung. Die Nettosumme beträgt 2.460,00 EUR, die Umsatzsteuer 467,40 EUR, die bezahlte Gesamtsumme 2.927,40 EUR. Die Zahlung erfolgte am 16.09.2026. Beweis: Anlage K5; Zeugnis der Hedwig Halm, Karosserie Hedwig Halm GmbH, Mispelgasse 7, 97082 Lindenquell.</w:t>
      </w:r>
    </w:p>
    <w:p>
      <w:r>
        <w:t>Dach- und Glasschaden passen zum herabgeschwenkten Holz. Bei substantiiertem technischem Bestreiten wird ein Sachverständigengutachten zum Zusammenhang zwischen Astkontakt, Schadenbereichen und erforderlichen Reparaturmaßnahmen angeboten. Der Kläger verlangt keinen Ersatz eines bloßen Kostenvoranschlags und keine allgemeine Wertverbesserung. Das Fahrzeug wurde bis zur Reparatur in einer geschützten Garage abgestellt und nicht weitergefahren. Der Kläger ist angestellter Buchhändler, nutzt den Kombi privat und kann die tatsächlich angefallene Umsatzsteuer nicht als Vorsteuer abziehen.</w:t>
      </w:r>
    </w:p>
    <w:p>
      <w:r>
        <w:t>Für den 10. und 11.09.2026 mietete er bei Mobilität Noura Nessel einen Ersatzwagen für zwei Tage zu je 42,00 EUR brutto, insgesamt 84,00 EUR. Die Rechnung enthält 70,59 EUR netto und 13,41 EUR Umsatzsteuer. Der Wagen wurde von 07:30 Uhr am ersten bis 18:10 Uhr am zweiten Tag genutzt und 84 Kilometer gefahren. Beweis: Anlage K6; Zeugnis der Noura Nessel, Mobilität Noura Nessel, Gewerberingel 2, 97082 Lindenquell. Der Kläger benötigte die Fahrten für seinen Arbeitsweg und verfügte über keinen zweiten eigenen Wagen.</w:t>
      </w:r>
    </w:p>
    <w:p>
      <w:r>
        <w:t>Zwischen dem 03. und 09.09.2026 half eine unentgeltliche Fahrgemeinschaft. Hierfür wird nichts verlangt. Diese vorübergehende Hilfe stand an den beiden Reparaturtagen nicht mehr zur Verfügung, wie der Kläger in Anlage K9 konkretisiert. Die kurze Mietdauer und der einfache Ersatzwagen beschränken den Aufwand. Zusätzlicher Nutzungsausfall oder pauschale Mobilitätskosten werden nicht geltend gemacht. Die Summe beträgt folglich 2.927,40 EUR zuzüglich 84,00 EUR, mithin 3.011,40 EUR. Eine Erstattung durch einen Versicherer oder das Unternehmen ist nicht erfolgt.</w:t>
      </w:r>
    </w:p>
    <w:p>
      <w:pPr>
        <w:pStyle w:val="Heading1"/>
      </w:pPr>
      <w:r>
        <w:t>7 Halteverbot und Mitverantwortung</w:t>
      </w:r>
    </w:p>
    <w:p>
      <w:r>
        <w:t>Die Beklagte verweist auf ein für den 31.08.2026 bestelltes mobiles Halteverbot. Der Bestellvermerk vom 28.08.2026 beweist jedoch nicht die tatsächliche Aufstellung und Sichtbarkeit. Der Kläger stellte sein Auto am 02.09.2026 gegen 21:30 Uhr ab und nahm keine entsprechenden Schilder wahr. Seine ursprüngliche Forderung mit dieser zeitlichen Angabe wird als Anlage K7 vorgelegt. Dies ist seine Wahrnehmung, keine Behauptung, dass eine frühere Aufstellung technisch unmöglich sei. Ein Aufstellprotokoll oder zeitbezogenes Foto ist bislang nicht vorgelegt.</w:t>
      </w:r>
    </w:p>
    <w:p>
      <w:r>
        <w:t>Für den Abstellzeitpunkt wird die persönliche Anhörung des Klägers angeregt. Die Beklagte kann den Aufsteller und vorhandene Aufzeichnungen benennen. Eine pauschale Beweisvereitelung wird nicht unterstellt. Sollte ein erkennbares Halteverbot bewiesen werden, wäre dessen Bedeutung für das Belassen des Wagens nach § 254 BGB konkret abzuwägen. Auch ein verbotswidrig abgestellter Wagen darf aber nicht bei bekanntem Standort ohne geeignete Schutzorganisation beschädigt werden. Der erkennbare Konflikt war vor dem Schnitt bereits Gegenstand der städtischen Räumungsbemühungen.</w:t>
      </w:r>
    </w:p>
    <w:p>
      <w:r>
        <w:t>Ein Rechtsmittel, mit dem der Kläger den plötzlich ausgelösten Astkontakt noch rechtzeitig hätte abwenden können, ist nicht ersichtlich. Er hatte keinen vorher bekanntgegebenen Bescheid über eine konkret bevorstehende gefährliche Schnittausführung erhalten. Der Tatbestand des § 839 Abs. 3 BGB wird nicht schon durch die allgemeine Möglichkeit ersetzt, sich irgendwann nach Straßenarbeiten zu erkundigen.</w:t>
      </w:r>
    </w:p>
    <w:p>
      <w:pPr>
        <w:pStyle w:val="Heading1"/>
      </w:pPr>
      <w:r>
        <w:t>8 Zinsen und Verfahrensstand</w:t>
      </w:r>
    </w:p>
    <w:p>
      <w:r>
        <w:t>Es werden allein Prozesszinsen nach §§ 291, 288 Abs. 1 Satz 2 BGB ab dem Tag nach künftiger Zustellung verlangt. Eine bereits erfolgte Zustellung oder ein abgelaufener Antworttermin wird nicht behauptet. Der Kläger hatte um Antwort bis 13.10.2026 gebeten. Das anwaltliche Anspruchsschreiben vom 05.10.2026 ist Anlage K11. Hierauf liegt lediglich die vorläufige Gegenposition der Stadt vom selben Tag, Anlage K12, vor. Dieser Entwurf bleibt deshalb vorbereitend und ist nicht eingereicht.</w:t>
      </w:r>
    </w:p>
    <w:p>
      <w:r>
        <w:t>Die Klägerseite ist weiterhin zu einer außergerichtlichen Klärung anhand von Freigabeverständnis und Aufstellnachweis bereit. Eine Einigung oder Zahlung hat es nicht gegeben. Gegen eine Entscheidung durch den Einzelrichter bestehen keine Bedenken; ein besonderer Videoantrag wird derzeit nicht gestellt. Bei einer späteren Einreichung müssen neue Belege oder Zahlungen berücksichtigt werden, ohne den hier geschilderten Stand rückwirkend als endgültige Ablehnung auszugeben.</w:t>
      </w:r>
    </w:p>
    <w:p>
      <w:pPr>
        <w:pStyle w:val="Heading1"/>
      </w:pPr>
      <w:r>
        <w:t>9 Anlagenverzeichnis</w:t>
      </w:r>
    </w:p>
    <w:p>
      <w:r>
        <w:t>K1: Arbeitsauftrag 26-B47 mit Schnittvorgaben und städtischer Absperrzuständigkeit.</w:t>
        <w:br/>
        <w:t>Datei: 02_Arbeitsauftrag.docx</w:t>
      </w:r>
    </w:p>
    <w:p>
      <w:r>
        <w:t>K2: Vermerk Zwirn vom 04.09.2026 zur begrenzten Freigabe.</w:t>
        <w:br/>
        <w:t>Datei: 03_Absperrvermerk.docx</w:t>
      </w:r>
    </w:p>
    <w:p>
      <w:r>
        <w:t>K3: Bericht König über Seilführung, Freigabeverständnis und Astkontakt.</w:t>
        <w:br/>
        <w:t>Datei: 04_Ereignisbericht.docx</w:t>
      </w:r>
    </w:p>
    <w:p>
      <w:r>
        <w:t>K4: Beobachtungen der Kioskbetreiberin Lenz vom 10.09.2026.</w:t>
        <w:br/>
        <w:t>Datei: 05_Zeugin.eml</w:t>
      </w:r>
    </w:p>
    <w:p>
      <w:r>
        <w:t>K5: Reparaturrechnung Halm über 2.927,40 EUR mit Zahlungshinweis.</w:t>
        <w:br/>
        <w:t>Datei: 06_Reparaturrechnung.docx</w:t>
      </w:r>
    </w:p>
    <w:p>
      <w:r>
        <w:t>K6: Zwei Tage Ersatzwagen für 84,00 EUR und Nutzungsangaben.</w:t>
        <w:br/>
        <w:t>Datei: 07_Mietwagenrechnung.docx</w:t>
      </w:r>
    </w:p>
    <w:p>
      <w:r>
        <w:t>K7: Forderung Sesam vom 22.09.2026 und Abstellzeit des Wagens.</w:t>
        <w:br/>
        <w:t>Datei: 08_Forderung.eml</w:t>
      </w:r>
    </w:p>
    <w:p>
      <w:r>
        <w:t>K8: Stellungnahme Astwerk Amal Berg vom 29.09.2026.</w:t>
        <w:br/>
        <w:t>Datei: 09_Unternehmen_Stellungnahme.eml</w:t>
      </w:r>
    </w:p>
    <w:p>
      <w:r>
        <w:t>K9: Ergänzungen zu Erstattungen, Parken und Ersatzbedarf vom 05.10.2026.</w:t>
        <w:br/>
        <w:t>Datei: schriftverkehr-und-klage/01_Mandantenmail.eml</w:t>
      </w:r>
    </w:p>
    <w:p>
      <w:r>
        <w:t>K10: Unternehmerische Ergänzung zu Technik, Weisungsinhalt und Anschriften.</w:t>
        <w:br/>
        <w:t>Datei: schriftverkehr-und-klage/02_Ergaenzende_Auskunft.eml</w:t>
      </w:r>
    </w:p>
    <w:p>
      <w:r>
        <w:t>K11: Konkretisiertes Anspruchsschreiben an die Stadt.</w:t>
        <w:br/>
        <w:t>Datei: schriftverkehr-und-klage/04_Anspruchsschreiben.pdf</w:t>
      </w:r>
    </w:p>
    <w:p>
      <w:r>
        <w:t>K12: Städtische Gegenposition zu Freigabe, Unternehmer und Halteverbot.</w:t>
        <w:br/>
        <w:t>Datei: schriftverkehr-und-klage/05_Antwort.pdf</w:t>
      </w:r>
    </w:p>
    <w:p>
      <w: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Sesam gegen Stadt Lindenquell</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