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Klageentwurf der Gebäudeeigentümerin</w:t>
      </w:r>
    </w:p>
    <w:p>
      <w:r>
        <w:t>ENTWURF VOM 5. OKTOBER 2026 – NICHT EINGEREICHT</w:t>
        <w:br/>
        <w:t>Gegenstand allein: Schäden der Hofbogen Immobilien GmbH an Tor und Gebäude.</w:t>
      </w:r>
    </w:p>
    <w:p>
      <w:r>
        <w:t>An das Landgericht Würzburg</w:t>
        <w:br/>
        <w:t>Ottostraße 5</w:t>
        <w:br/>
        <w:t>97070 Würzburg</w:t>
      </w:r>
    </w:p>
    <w:p>
      <w:r>
        <w:t>Hofbogen Immobilien GmbH, Hallenbogen 12, 97076 Würzburg, vertreten durch ihre Geschäftsführerin Kunigunde Knopf,</w:t>
        <w:br/>
        <w:t>– Klägerin –</w:t>
        <w:br/>
        <w:t>Prozessbevollmächtigter: Rechtsanwalt Nils Feder, Mainblattweg 6, 97070 Würzburg,</w:t>
      </w:r>
    </w:p>
    <w:p>
      <w:r>
        <w:t>gegen</w:t>
      </w:r>
    </w:p>
    <w:p>
      <w:r>
        <w:t>1. Stadtbetriebe Steinbogen GmbH, Betriebshof Laubenring 9, 97076 Würzburg, vertreten durch ihre Geschäftsführerin Hedwig Sommer,</w:t>
        <w:br/>
        <w:t>2. Burkhard Blech, Werkzeugpfad 5, 97076 Würzburg,</w:t>
        <w:br/>
        <w:t>– Beklagte –</w:t>
      </w:r>
    </w:p>
    <w:p>
      <w:r>
        <w:t>wegen Gebäudeschäden durch eine wegrollende Kehrmaschine.</w:t>
        <w:br/>
        <w:t>Vorläufiger Streitwert: 145.000,00 EUR.</w:t>
      </w:r>
    </w:p>
    <w:p>
      <w:pPr>
        <w:pStyle w:val="Heading1"/>
      </w:pPr>
      <w:r>
        <w:t>1. Anträge und Abgrenzung</w:t>
      </w:r>
    </w:p>
    <w:p>
      <w:r>
        <w:t>Für eine spätere Einreichung wird beantragt,</w:t>
      </w:r>
    </w:p>
    <w:p>
      <w:r>
        <w:t>1. die Beklagten als Gesamtschuldner zu verurteilen, an die Klägerin 145.000,00 EUR nebst Zinsen in Höhe von fünf Prozentpunkten über dem jeweiligen Basiszinssatz seit dem Tag nach der jeweiligen Klagezustellung zu zahlen;</w:t>
        <w:br/>
        <w:t>2. den Beklagten die Kosten des Rechtsstreits aufzuerlegen.</w:t>
      </w:r>
    </w:p>
    <w:p>
      <w:r>
        <w:t>Die Klägerin verlangt ausschließlich den für die Wiederherstellung ihres Hallentors, Sturzbereichs und unmittelbar angrenzenden Mauerwerks einschließlich notwendiger Baustelleneinrichtung, Hebetechnik und vorübergehenden Verschlusses angesetzten Nettobetrag. Das Angebot weist diese Positionen mit 68.000 EUR, 52.000 EUR und 25.000 EUR gesondert aus. Umsatzsteuer ist nicht Gegenstand des Begehrens.</w:t>
      </w:r>
    </w:p>
    <w:p>
      <w:r>
        <w:t>Die hinter dem Tor abgestellte Veranstaltungstechnik gehört der Prisma Bühnenbildtechnik GmbH. Deren Ansprüche werden weder in Prozessstandschaft noch aus abgetretenem Recht erhoben. Auch der gemeldete Umsatzverlust der Nuri Nudelwerk GmbH, etwaige Mietausfälle der Klägerin und gegenwärtig nicht bewertete verdeckte Schäden sind nicht Teil der Zahlungsklage. Eine spätere Berechnung weiterer eigener Schäden müsste Überschneidungen mit den hier erfassten Positionen ausschließen. Aus dem Umfang der gegenwärtigen Forderung folgt kein Verzicht auf solche anderen eigenen Ansprüche.</w:t>
      </w:r>
    </w:p>
    <w:p>
      <w:pPr>
        <w:pStyle w:val="Heading1"/>
      </w:pPr>
      <w:r>
        <w:t>2. Zuständigkeit und Anspruchsgegner</w:t>
      </w:r>
    </w:p>
    <w:p>
      <w:r>
        <w:t>Das Landgericht ist nach § 71 Abs. 1 GVG sachlich zuständig. Die Forderung übersteigt die seit 2026 maßgebliche allgemeine Grenze des § 23 Nr. 1 GVG von 10.000 EUR. Beide Beklagten haben ihren Sitz beziehungsweise Wohnsitz im Gerichtsbezirk; auch der Unfall ereignete sich in Würzburg. Die örtliche Zuständigkeit folgt aus §§ 12, 13 und 17 ZPO, ergänzend aus § 32 ZPO. Die gemeinsame Inanspruchnahme beruht auf demselben Unfall und ist nach §§ 59, 60 ZPO zulässig.</w:t>
      </w:r>
    </w:p>
    <w:p>
      <w:r>
        <w:t>Die Beklagte zu 1 war Halterin und Eigentümerin der Kehrmaschine, der Beklagte zu 2 ihr angestellter Fahrer. Der konkrete Auftrag beruhte auf einer privaten Bestellung zur Reinigung des Gewerbehofs. Eine öffentlich gewidmete Straße, hoheitliche Straßenreinigung oder eine entsprechende besondere Weisung lag nicht vor. Die öffentliche Zugänglichkeit während des Lieferverkehrs ist davon zu unterscheiden. Eine Haftungsüberleitung nach Art. 34 GG wird nicht allein aus dem Namen Stadtbetriebe abgeleitet; der Fahrer wird hier persönlich wegen privaten Handelns in Anspruch genommen.</w:t>
      </w:r>
    </w:p>
    <w:p>
      <w:r>
        <w:t>Beweis: Betriebsbestätigung K8; Unfallmeldung K1. Die Klägerin ist selbst Gebäudeeigentümerin; ihre Geschäftsführerin hat dies bereits in K5 bestätigt. Bei substantiiertem Bestreiten wird der zugehörige Eigentumsnachweis vorzulegen sein. Ein Versicherer wird in diesem Entwurf nicht verklagt, da die vollständigen Vertragsunterlagen noch fehlen und es für die gewählte Anspruchsverfolgung hierauf nicht ankommt.</w:t>
      </w:r>
    </w:p>
    <w:p>
      <w:pPr>
        <w:pStyle w:val="Heading1"/>
      </w:pPr>
      <w:r>
        <w:t>3. Unfallablauf und Beweisangebot</w:t>
      </w:r>
    </w:p>
    <w:p>
      <w:r>
        <w:t>Am 25. September 2026 gegen 09:14 Uhr hielt der Beklagte zu 2 die Kehrmaschine Nummer 7 einige Meter vor dem Hallentor an, um eine umgefallene Absperrbake zu entfernen. Der Motor lief weiter, das Kehraggregat war ausgeschaltet. Er verließ die Maschine. Wenige Sekunden später rollte sie auf dem leichten Gefälle vorwärts, traf das geschlossene Tor und drückte es nach innen. Dabei wurden das Tor und angrenzende Bauteile beschädigt; dahinterstehende Gestelle wurden verschoben.</w:t>
      </w:r>
    </w:p>
    <w:p>
      <w:r>
        <w:t>Beweis: Unfallmeldung K1; Zeugnis der Samira Schwan, Paketsteg 4, 97076 Würzburg, deren schriftliche Beobachtungen K2 und K9 wiedergeben; Fuhrparkchat K3. Die Zeugin sah keinen weiteren äußeren Anstoß. Ihre anfängliche ungenaue Bezeichnung als Lieferwagen ist berichtigt. Sie erkannte die seitlichen Bürsten und den Schriftzug der Stadtbetriebe. Ihre Wahrnehmung wird nicht um eine von ihr gerade nicht beobachtete Bedienung des Bremshebels ergänzt.</w:t>
      </w:r>
    </w:p>
    <w:p>
      <w:r>
        <w:t>Der Beklagte zu 2 erklärte selbst, er glaube den Hebel angezogen zu haben, könne aber ein vollständiges Einrasten nicht sicher bestätigen. Im zeitnahen Chat um 09:31 Uhr wiederholte er diese Unsicherheit. Er hatte das leichte Gefälle unterschätzt. Die Klägerin behauptet, dass das Fahrzeug vor dem Aussteigen nicht wirksam gegen das absehbare Wegrollen gesichert war. Sie stützt dies auf den unbeaufsichtigten Rollvorgang, die Fahrererklärung und den fehlenden äußeren Anstoß. Eine vorsätzliche Handlung wird nicht behauptet.</w:t>
      </w:r>
    </w:p>
    <w:p>
      <w:r>
        <w:t>Die technische Untersuchung ist noch nicht abgeschlossen. Der Werkstattauftrag K4 sieht die Dokumentation von Stellung, Funktion und Betätigungskräften der Feststellbremse sowie des Wartungsstands vor. Das Fahrzeug bleibt gesichert; der vollständige Bericht wird erst für den 8. Oktober erwartet. Das bloße Fehlen eines unterschriebenen Wartungsblatts im Ordner beweist noch nicht, dass keine Wartung stattfand. Umgekehrt wird ein unerkannter technischer Defekt nicht ohne Befund als feststehende Entlastung behandelt.</w:t>
      </w:r>
    </w:p>
    <w:p>
      <w:r>
        <w:t>Zum Zustand der Bremse, der erforderlichen Sicherung auf dem vorhandenen Gefälle und zur technischen Vereinbarkeit der behaupteten Bremsbetätigung mit dem Wegrollen wird Sachverständigenbeweis angeboten. Die Beklagten werden um Vorlage des Berichts und der vorhandenen Wartungsunterlagen gebeten; bei Bedarf kommt eine gerichtliche Vorlageanordnung nach § 142 ZPO in Betracht. Ein bereits angefertigtes Gutachten oder sein Ergebnis wird nicht vorweggenommen.</w:t>
      </w:r>
    </w:p>
    <w:p>
      <w:pPr>
        <w:pStyle w:val="Heading1"/>
      </w:pPr>
      <w:r>
        <w:t>4. Gesetzliche Haftungsgrundlagen</w:t>
      </w:r>
    </w:p>
    <w:p>
      <w:r>
        <w:t>Die Beklagte zu 1 haftet als Halterin nach § 7 Abs. 1 StVG. Das Schadenereignis entstand bei dem Betrieb des Fahrzeugs: Die ungesicherte Bewegung der Maschine verwirklichte deren Fortbewegungsrisiko unmittelbar im Anprall. Dass das Kehraggregat ausgeschaltet war, entfernt diesen Vorgang nicht aus dem Fahrzeugbetrieb. Die Einordnung folgt aus dem konkreten Ablauf und nicht daraus, dass jedes Gerät mit Motor stets dem StVG unterfiele. Die bauartbedingte Höchstgeschwindigkeit beträgt 40 km/h; die Ausnahme des § 8 Nr. 1 StVG für Fahrzeuge bis 20 km/h greift deshalb nicht ein. Hinweise auf höhere Gewalt fehlen.</w:t>
      </w:r>
    </w:p>
    <w:p>
      <w:r>
        <w:t>Der Beklagte zu 2 ist als Fahrzeugführer nach § 18 Abs. 1 StVG verantwortlich, sofern er den gesetzlich vorgesehenen Entlastungsbeweis nicht führt. Darüber hinaus wird er nach § 823 Abs. 1 BGB wegen der schuldhaften Beschädigung des klägerischen Eigentums in Anspruch genommen. Wer ein Fahrzeug bei laufendem Motor auf einem Gefälle verlässt, muss seine wirksame Sicherung gewährleisten. Die Klägerin legt für die Verschuldenshaftung den fehlenden Sicherungserfolg und die konkreten Fahrererklärungen vor; sie verwechselt die Beweislastregel des § 18 StVG nicht mit einer automatisch inhaltsgleichen Regel für jeden deliktischen Anspruch.</w:t>
      </w:r>
    </w:p>
    <w:p>
      <w:r>
        <w:t>Ein allein technisch verursachtes Versagen trotz nachweislich ordnungsgemäßer Sicherung könnte für die persönliche Verschuldensbewertung erheblich werden. Hierzu liegt noch kein Befund vor. Auf eine solche konkrete Einwendung wäre anhand der Untersuchung einzugehen. Die gegenwärtige Unsicherheit rechtfertigt weder die Behauptung eines sicheren Bremsdefekts noch das Weglassen des persönlichen Fehlverhaltens als ernsthaft belegter Anspruchsgrundlage.</w:t>
      </w:r>
    </w:p>
    <w:p>
      <w:r>
        <w:t>Die Beklagte zu 1 haftet daneben nach § 831 Abs. 1 BGB, sofern sie den dort geregelten Entlastungsbeweis nicht führt. Der Fahrer war ihr weisungsabhängiger Beschäftigter und handelte in Ausführung des übertragenen Reinigungsauftrags. Das Anhalten und Beseitigen der Bake standen in diesem Zusammenhang. Eine eigene schuldhafte Organisation der Geschäftsführung wird dagegen nicht aus dem Unternehmensnamen oder dem Unfall allein gefolgert. Für Auswahl, Unterweisung, Überwachung und die maßgeblichen Umstände der Fahrzeugbereitstellung sind konkrete Tatsachen erforderlich. Die Beklagte kann hierzu vortragen und ihre Entlastung beweisen. Die Anspruchsgrundlage wird nicht als verschuldensunabhängige Garantie der Arbeitgeberin dargestellt.</w:t>
      </w:r>
    </w:p>
    <w:p>
      <w:r>
        <w:t>Darüber hinaus besteht zwischen der Klägerin als Bestellerin und der Beklagten zu 1 ein privater Reinigungsvertrag; die Beklagte bestätigt gerade den auf dieser Bestellung beruhenden Hofeinsatz in K8. Bei dessen Ausführung musste sie nach § 241 Abs. 2 BGB das Eigentum ihrer Auftraggeberin vor vermeidbaren Beschädigungen schützen. Der Fahrer war zur Erfüllung dieser Verpflichtungen eingesetzt. Sein Verschulden wird ihr nach § 278 BGB zugerechnet; eine Entlastung allein durch sorgfältige Auswahl nach § 831 BGB beseitigt diesen vertraglichen Anspruch aus § 280 Abs. 1 BGB nicht. Der Anprall erfolgte während der vertraglichen Tätigkeit, nicht bei einer rein privaten Gelegenheit. Auch hier bleiben Pflichtverletzung und Ursächlichkeit konkret nachzuweisen; hinsichtlich des Vertretenmüssens gilt § 280 Abs. 1 Satz 2 BGB. Die Vertragsforderung steht nur der Klägerin als Auftraggeberin zu und wird nicht auf die fremden Geräte- oder Umsatzansprüche ausgedehnt.</w:t>
      </w:r>
    </w:p>
    <w:p>
      <w:r>
        <w:t>Soweit beide Beklagte haften, wird dieselbe Wiederherstellungsleistung nur einmal verlangt. Die gesamtschuldnerische Verknüpfung ergibt sich aus den einschlägigen gesetzlichen Vorschriften, insbesondere § 840 BGB beziehungsweise § 421 BGB. Die Klägerin verlangt keine Addition einer Fahrzeug- und einer Deliktsentschädigung.</w:t>
      </w:r>
    </w:p>
    <w:p>
      <w:pPr>
        <w:pStyle w:val="Heading1"/>
      </w:pPr>
      <w:r>
        <w:t>5. Haftungshöchstbetrag und weitere Geschädigte</w:t>
      </w:r>
    </w:p>
    <w:p>
      <w:r>
        <w:t>Die Haftung nach dem StVG ist für Sachschäden nach § 12 Abs. 1 Satz 1 Nr. 2 StVG grundsätzlich auf insgesamt eine Million EUR je Ereignis begrenzt. Für die vorliegende Maschine bestehen weder eine automatisierte Fahrfunktion nach § 1a StVG noch eine autonome Fahrfunktion nach § 1e StVG; K8 bestätigt dies. Die erhöhte Grenze für diese besondere Betriebsart wird daher nicht verwendet.</w:t>
      </w:r>
    </w:p>
    <w:p>
      <w:r>
        <w:t>Die alleinige Gebäudeforderung liegt zwar unter einer Million EUR. Daneben ist aber die fremde Geräteanmeldung der Prisma GmbH bekannt. Sollten die insgesamt begründeten Entschädigungen die gesetzliche Grenze überschreiten, ist die Verhältnisregel des § 12 Abs. 2 StVG zu berücksichtigen. Eine bloße Anmeldung von 1,65 Millionen EUR zum Neupreis gebrauchter, noch nicht vollständig untersuchter Geräte liefert keine fertige Verteilungsquote. K12 wird deshalb nur zum Nachweis dieser offenen Mehrgeschädigtenfrage vorgelegt, nicht als Beleg eines abschließend berechtigten Geräteanspruchs. Auch ein gemeldeter reiner Umsatzausfall ist nicht ohne Prüfung eine ersatzfähige Sachschadenposition.</w:t>
      </w:r>
    </w:p>
    <w:p>
      <w:r>
        <w:t>Die Klägerin hält an der vollen Forderung fest und stützt sie zusätzlich auf die bezeichneten schuldabhängigen Ansprüche einschließlich der vertraglichen Haftung der Beklagten zu 1. § 16 StVG lässt die weitergehende Haftung nach anderen Vorschriften unberührt. Diese Anspruchsgrundlagen dürfen nicht durch einen pauschalen Verweis auf § 12 StVG abgeschnitten werden; sie müssen aber einschließlich ihres Verschuldensnachweises beziehungsweise ihrer jeweils unterschiedlichen Entlastungsmöglichkeit eigenständig tragfähig sein. Sollte nur die StVG-Haftung durchgreifen und eine Überschreitung durch weitere begründete Forderungen feststehen, wäre eine gesetzliche Kürzung zu berücksichtigen. Der Entwurf verschweigt diese Grenze des vollen Zahlungsbegehrens nicht.</w:t>
      </w:r>
    </w:p>
    <w:p>
      <w:pPr>
        <w:pStyle w:val="Heading1"/>
      </w:pPr>
      <w:r>
        <w:t>6. Wiederherstellungskosten und Gegenargumente</w:t>
      </w:r>
    </w:p>
    <w:p>
      <w:r>
        <w:t>Das Baukontor Balken besichtigte den Schaden am 28. September und kalkulierte am Folgetag 145.000 EUR netto. Das Torblatt war verwunden, eine Führung aus der Verankerung gezogen; Sturzbereich und Maueranschlüsse zeigten Schäden. Die Erläuterung K7 beschreibt den Ersatz durch ein vergleichbares Tor ohne Vergrößerung oder zusätzliche Leistungsmerkmale. Die drei Leistungsgruppen sind einzeln benannt und grenzen Mieterausstattung sowie Mietausfälle aus.</w:t>
      </w:r>
    </w:p>
    <w:p>
      <w:r>
        <w:t>Beweis: Angebot K6; Erläuterung K7; Zeugnis des Balduin Balken, Werkplatz 8, 97076 Würzburg. Zum unfallbedingten Reparaturumfang, zur technischen Erforderlichkeit des Austauschs, zu marktüblichen Kosten und etwaigen anzurechnenden Vorteilen wird ein bautechnisches Sachverständigengutachten angeboten. Die Klägerin wird eine Besichtigung ermöglichen und gefährdete Teile vor Veränderung dokumentieren lassen.</w:t>
      </w:r>
    </w:p>
    <w:p>
      <w:r>
        <w:t>Nach § 249 Abs. 2 Satz 1 BGB kann der zur Wiederherstellung erforderliche Geldbetrag auch vor Durchführung der Reparatur verlangt werden. Dass der Auftrag wegen der ausstehenden Statik noch nicht erteilt wurde, schließt einen solchen Anspruch nicht von vornherein aus. Das Angebot bindet das Gericht jedoch nicht. Es ist eine konkrete Schätz- und Begutachtungsgrundlage; ungeklärte verdeckte Schäden sind darin nicht bewertet. Ergibt die Untersuchung einen geringeren erforderlichen Aufwand oder einen messbaren Vorteil, ist die Forderung entsprechend anzupassen.</w:t>
      </w:r>
    </w:p>
    <w:p>
      <w:r>
        <w:t>Die Klägerin ist zum Vorsteuerabzug berechtigt. Unabhängig davon wird eine noch nicht angefallene Umsatzsteuer bei der derzeitigen Berechnung nicht verlangt. Der Bruttobetrag von 172.550 EUR ist deshalb kein Klagebetrag. Bisherige Sicherungsarbeiten werden nicht nochmals separat addiert. Ebenso wenig werden die hinter dem Tor sichtbaren Kisten als Eigentum der Klägerin behandelt.</w:t>
      </w:r>
    </w:p>
    <w:p>
      <w:r>
        <w:t>Konkrete Anhaltspunkte für ein Mitverschulden der Klägerin nach § 254 BGB fehlen bisher. Die Bereitstellung eines geschlossenen Hallentors und das Lagern von Gegenständen dahinter sind nicht allein pflichtwidrig. Sollten Vorschäden behauptet werden, sind Ort, Art und Einfluss auf die erforderliche Reparatur abzugrenzen; die Zeugin Schwan behauptet ausdrücklich keine fachliche Prüfung des vorherigen Zustands. Eine Betriebsgefahr eines eigenen am Unfall beteiligten Kraftfahrzeugs der Klägerin besteht nicht. Eine pauschale Quote nach § 17 StVG wird daher nicht abgezogen.</w:t>
      </w:r>
    </w:p>
    <w:p>
      <w:pPr>
        <w:pStyle w:val="Heading1"/>
      </w:pPr>
      <w:r>
        <w:t>7. Zinsen, außergerichtlicher Stand und Einreichungsvorbehalt</w:t>
      </w:r>
    </w:p>
    <w:p>
      <w:r>
        <w:t>Die Forderung wurde mit K10 gegenüber beiden Beklagten präzisiert. Die Zahlungsfrist bis zum 19. Oktober ist bei Erstellung dieses Entwurfs noch nicht abgelaufen. K11 bestätigt die noch laufende Prüfung, ohne Zahlung oder Haftung anzuerkennen. Vorgerichtlicher Verzug wird nicht fingiert. Beantragt werden nur Prozesszinsen nach §§ 291, 288 Abs. 1 Satz 2 BGB, jeweils ab dem Tag nach Zustellung an den betreffenden Beklagten. Fünf Prozentpunkte sind maßgeblich; die Schadenersatzforderung ist keine vertragliche Entgeltforderung, für die allein wegen der beteiligten Gesellschaften neun Prozentpunkte verlangt werden könnten.</w:t>
      </w:r>
    </w:p>
    <w:p>
      <w:r>
        <w:t>Vor einer Einreichung sollen der angekündigte technische Befund und die bautechnische Aufnahme ausgewertet, die Eigentums- und Vertretungsnachweise vervollständigt und die Fortentwicklung der Mehrgeschädigtenlage geprüft werden. Die offenen Punkte werden im Entwurf bewusst offengelegt. Eine tatsächlich erteilte Einreichungsvollmacht, ein gerichtliches Aktenzeichen oder ein bereits bestimmter Termin werden nicht behauptet.</w:t>
      </w:r>
    </w:p>
    <w:p>
      <w:r>
        <w:t>Nils Feder</w:t>
        <w:br/>
        <w:t>Rechtsanwalt – Entwurf ohne Einreichung</w:t>
      </w:r>
    </w:p>
    <w:p>
      <w:pPr>
        <w:pStyle w:val="Heading1"/>
      </w:pPr>
      <w:r>
        <w:t>8. Anlagenverzeichnis</w:t>
      </w:r>
    </w:p>
    <w:p>
      <w:r>
        <w:t>K1: Rollen, Fahrzeugdaten und Unfallablauf</w:t>
        <w:br/>
        <w:t>Datei: 02_Unfallmeldung.docx</w:t>
      </w:r>
    </w:p>
    <w:p>
      <w:r>
        <w:t>K2: Unabhängige Beobachtung und Fahrzeugkorrektur</w:t>
        <w:br/>
        <w:t>Datei: 03_Zeugin_Samira.docx</w:t>
      </w:r>
    </w:p>
    <w:p>
      <w:r>
        <w:t>K3: Zeitnahe Fahrermeldung und Unsicherheit zur Bremse</w:t>
        <w:br/>
        <w:t>Datei: 11_Fuhrparkchat.txt</w:t>
      </w:r>
    </w:p>
    <w:p>
      <w:r>
        <w:t>K4: Gesicherter Prüfzustand und noch ausstehender Befund</w:t>
        <w:br/>
        <w:t>Datei: 06_Werkstattauftrag.docx</w:t>
      </w:r>
    </w:p>
    <w:p>
      <w:r>
        <w:t>K5: Eigentum, Forderung und Vorsteuerabzug</w:t>
        <w:br/>
        <w:t>Datei: 07_Gebaeudeeigentuemerin.eml</w:t>
      </w:r>
    </w:p>
    <w:p>
      <w:r>
        <w:t>K6: Drei konkret bezeichnete Baupositionen</w:t>
        <w:br/>
        <w:t>Datei: 04_Bau_Angebot.docx</w:t>
      </w:r>
    </w:p>
    <w:p>
      <w:r>
        <w:t>K7: Grundlagen, Begrenzung und vorläufiger Charakter der Kalkulation</w:t>
        <w:br/>
        <w:t>Datei: schriftverkehr-und-klage/01_Bauangebot_Erlaeuterung.eml</w:t>
      </w:r>
    </w:p>
    <w:p>
      <w:r>
        <w:t>K8: Privater Reinigungsauftrag, Halterin und Fahreranschrift</w:t>
        <w:br/>
        <w:t>Datei: schriftverkehr-und-klage/02_Auftrag_und_Rollen.eml</w:t>
      </w:r>
    </w:p>
    <w:p>
      <w:r>
        <w:t>K9: Sichtbarer Fahrzeuglauf und Ladungsanschrift</w:t>
        <w:br/>
        <w:t>Datei: schriftverkehr-und-klage/03_Zeugin_Bestaetigung.eml</w:t>
      </w:r>
    </w:p>
    <w:p>
      <w:r>
        <w:t>K10: Gebäudeforderung gegen Halterin und Fahrer</w:t>
        <w:br/>
        <w:t>Datei: schriftverkehr-und-klage/04_Forderung_Hofbogen.pdf</w:t>
      </w:r>
    </w:p>
    <w:p>
      <w:r>
        <w:t>K11: Offene Technik- und Höhenfragen, mehrere Geschädigte</w:t>
        <w:br/>
        <w:t>Datei: schriftverkehr-und-klage/05_Antwort_Stadtbetriebe.pdf</w:t>
      </w:r>
    </w:p>
    <w:p>
      <w:r>
        <w:t>K12: Nur für Höchstbetragsfrage: ausdrücklich ungeprüfte fremde Anmeldung</w:t>
        <w:br/>
        <w:t>Datei: 05_Geraete_Aufstellung.docx</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Klageentwurf der Gebäudeeigentümerin</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