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Dinkel gegen Stadt Lindenquell</w:t>
      </w:r>
    </w:p>
    <w:p>
      <w:r>
        <w:t>ENTWURF – nicht eingereicht</w:t>
        <w:br/>
        <w:t>Stand: 05.10.2026</w:t>
      </w:r>
    </w:p>
    <w:p>
      <w:r>
        <w:t>Rechtsanwältin Leonie von Tann, Mohnanger 8, 97082 Lindenquell bei Würzburg</w:t>
        <w:br/>
        <w:t>An das Landgericht Würzburg</w:t>
        <w:br/>
        <w:t>Ottostraße 5, 97070 Würzburg</w:t>
      </w:r>
    </w:p>
    <w:p>
      <w:r>
        <w:t>Klage</w:t>
      </w:r>
    </w:p>
    <w:p>
      <w:r>
        <w:t>Tassilo Dinkel, Quittenbogen 12, 97082 Lindenquell bei Würzburg</w:t>
        <w:br/>
        <w:t>– klagende Partei –</w:t>
      </w:r>
    </w:p>
    <w:p>
      <w:r>
        <w:t>Prozessbevollmächtigte: Rechtsanwältin Leonie von Tann, Mohnanger 8, 97082 Lindenquell bei Würzburg</w:t>
      </w:r>
    </w:p>
    <w:p>
      <w:r>
        <w:t>gegen</w:t>
      </w:r>
    </w:p>
    <w:p>
      <w:r>
        <w:t>Stadt Lindenquell, vertreten durch den Ersten Bürgermeister Anselm Buchner, Rathausplatz 1, 97082 Lindenquell bei Würzburg</w:t>
        <w:br/>
        <w:t>– beklagte Partei –</w:t>
      </w:r>
    </w:p>
    <w:p>
      <w:r>
        <w:t>wegen Schadensersatz</w:t>
        <w:br/>
        <w:t>Vorläufiger Streitwert: 2.188,80 EUR</w:t>
        <w:br/>
        <w:t>Aktenzeichen der Prozessbevollmächtigten: VT 26/104</w:t>
      </w:r>
    </w:p>
    <w:p>
      <w:pPr>
        <w:pStyle w:val="Heading1"/>
      </w:pPr>
      <w:r>
        <w:t>1 Anträge</w:t>
      </w:r>
    </w:p>
    <w:p>
      <w:r>
        <w:t>Namens und in Vollmacht des Klägers wird beantragt, die Beklagte zu verurteilen, an den Kläger 2.188,80 EUR nebst Zinsen in Höhe von fünf Prozentpunkten über dem jeweiligen Basiszinssatz seit dem auf die Zustellung der Klage folgenden Tag zu zahlen. Ferner wird beantragt, der Beklagten die Kosten des Rechtsstreits aufzuerlegen.</w:t>
      </w:r>
    </w:p>
    <w:p>
      <w:pPr>
        <w:pStyle w:val="Heading1"/>
      </w:pPr>
      <w:r>
        <w:t>2 Gegenstand und Zuständigkeit</w:t>
      </w:r>
    </w:p>
    <w:p>
      <w:r>
        <w:t>Der Kläger verlangt die Kosten der tatsächlich ausgeführten Reparatur seines privaten Kompaktwagens sowie zweier Werkstattfahrten. Der bei der Beklagten beschäftigte Fahrer Veit Quast streifte das abgestellte Fahrzeug am 08.09.2026 mit einem Transporter der Beklagten. Die frühere, nicht einzeln belegte Abwicklungspauschale von 25,00 EUR ist nicht Gegenstand dieser Klage. Die Reduzierung gegenüber dem Schreiben vom 24.09.2026 beruht auf der Erklärung des Klägers vom 05.10.2026, nicht auf einer Zahlung der Beklagten. Beweis: ursprüngliche Forderung, Anlage K1, und ergänzende Erklärung des Klägers, Anlage K8.</w:t>
      </w:r>
    </w:p>
    <w:p>
      <w:r>
        <w:t>Das Landgericht ist nach § 71 Abs. 2 Nr. 2 GVG zuständig, weil der Kläger neben der Halterhaftung eine Verletzung drittbezogener Amtspflichten geltend macht. Der Streitwert unterhalb der allgemeinen amtsgerichtlichen Wertgrenze ändert diese besondere Zuständigkeit nicht. Die Fahrt diente unmittelbar der Sicherung einer gewidmeten Ortsstraße. Der Unfallort im Quittenbogen liegt im Gerichtsbezirk Würzburg; die örtliche Zuständigkeit folgt jedenfalls aus § 32 ZPO. Derselbe Lebenssachverhalt trägt den ergänzend geltend gemachten Anspruch aus § 7 Abs. 1 StVG.</w:t>
      </w:r>
    </w:p>
    <w:p>
      <w:pPr>
        <w:pStyle w:val="Heading1"/>
      </w:pPr>
      <w:r>
        <w:t>3 Unfallhergang und Einsatz</w:t>
      </w:r>
    </w:p>
    <w:p>
      <w:r>
        <w:t>Der Kläger hatte seinen blauen Kompaktwagen vollständig in der markierten Parkbucht vor Quittenbogen 12 abgestellt. Er ist Eigentümer, nutzt ihn ausschließlich privat und saß während des Unfalls nicht im Fahrzeug. Am 08.09.2026 gegen 09:12 Uhr hielt der städtische Transporter mit der Fuhrparknummer 17 wegen eines entgegenkommenden Lieferwagens an. Beim anschließenden langsamen Vorwärtsfahren geriet seine rechte hintere Ecke an die linke hintere Tür des klägerischen Fahrzeugs. Es entstand eine frische längliche Schramme mit Eindellung. Der Fahrer bemerkte das Schaben, hielt sofort an und verständigte den Kläger durch Klingeln.</w:t>
      </w:r>
    </w:p>
    <w:p>
      <w:r>
        <w:t>Beweis: Fahrerbericht, Anlage K2; Zeugnis des Veit Quast, zu laden über Stadt Lindenquell, Bauhof, Amselspange 2, 97082 Lindenquell; Zeugnis der Yasmin Amani, Quittenbogen 10, erster Stock, 97082 Lindenquell, Anlagen K4 und K9. Die Zeugin beobachtete vom Küchenfenster aus den stehenden Wagen, das Vorwärtsfahren und den Kontakt. Sie kann weder einen genauen Zentimeterabstand noch den Blick des Fahrers in den Spiegel bekunden. Darauf wird der Beweisantritt ausdrücklich nicht erstreckt.</w:t>
      </w:r>
    </w:p>
    <w:p>
      <w:r>
        <w:t>Die Beklagte trägt Betriebskosten und Wartung des Transporters, entscheidet über seinen Einsatz und besitzt ihn seit 2022. Quast stand während seiner Dienstzeit unter der Disposition des Bauhofs. Um 08:55 Uhr war ihm aufgetragen worden, sechs Baken und zwei Warnleuchten direkt zu einer kurz zuvor gemeldeten Fahrbahnabsenkung vor Quittenbogen 26 zu bringen und die Stelle gegen Befahren zu sichern. Der Unfallort vor Haus 12 lag auf diesem direkten Weg. Nach dem Zusammenstoß übernahm ein Ersatzteam den Auftrag. Ein privater Transport oder eine bloße Fahrt zum regelmäßigen Arbeitsplatz lag nicht vor.</w:t>
      </w:r>
    </w:p>
    <w:p>
      <w:r>
        <w:t>Beweis: Fuhrparkauskunft und Einsatzauftrag 26-391, Anlage K3; Zeugnis der Hildegard Knorz, Disposition, zu laden über den genannten Bauhof. Die Kennzeichnung als „Amtsfahrt“ im Fahrtenbuch ist ein ergänzendes Indiz. Entscheidend sind die konkret belegten Sicherungsmittel, der unmittelbare Auftrag und sein örtlicher Zusammenhang mit der öffentlichen Gefahrenstelle.</w:t>
      </w:r>
    </w:p>
    <w:p>
      <w:pPr>
        <w:pStyle w:val="Heading1"/>
      </w:pPr>
      <w:r>
        <w:t>4 Verantwortung der Beklagten</w:t>
      </w:r>
    </w:p>
    <w:p>
      <w:r>
        <w:t>Die Beklagte haftet als Halterin nach § 7 Abs. 1 StVG. Das Fahrzeug wurde mit ihrem wirtschaftlichen Aufwand und in ihrem Verfügungsbereich betrieben. Der Schaden entstand durch seine Fahrbewegung. Es geht daher nicht um eine bloß gelegentliche Anwesenheit einer Arbeitsmaschine an einem anderen Schadensort. Ein außergewöhnliches äußeres Ereignis oder ein technischer Defekt wird auch vom Fahrer nicht beschrieben. Der entgegenkommende Lieferwagen erklärt das vorherige Anhalten, beseitigt aber nicht den Zusammenhang zwischen Wiederanfahren und Streifkontakt.</w:t>
      </w:r>
    </w:p>
    <w:p>
      <w:r>
        <w:t>Daneben besteht ein Anspruch aus § 839 Abs. 1 BGB in Verbindung mit Art. 34 GG. Der Fahrer erfüllte unmittelbar eine kommunale Straßenverkehrssicherungsaufgabe. Art. 9 Abs. 5 BayStrWG ordnet diese Aufgabe dem öffentlichen Amt zu. Zur sicheren Erfüllung gehörte, bei gewöhnlicher Verkehrsteilnahme ausreichenden seitlichen Abstand zum ruhenden Eigentum Dritter zu halten und gegebenenfalls weiter abzuwarten. Die Sicherungsfahrt erforderte weder eine Berührung des geparkten Wagens noch eine riskante Fortsetzung. Quast hat keine Sonderrechte in Anspruch genommen. Sein eigener Bericht nennt keine unvermeidbare Ausweichbewegung.</w:t>
      </w:r>
    </w:p>
    <w:p>
      <w:r>
        <w:t>Für den funktionellen Zusammenhang einer Einsatzfahrt mit öffentlicher Aufgabe und die Auswirkungen auf die persönliche Fahrerhaftung wird auf BGH, Urteil vom 18.12.2007 – VI ZR 235/06, Rn. 22–25, verwiesen. Die dortigen Feuerwehr- und Sozialversicherungsfragen werden hier nicht übertragen. Die bei hoheitlicher Einordnung eingreifende Haftungsüberleitung schützt nicht die Beklagte vor ihrer Außenverantwortung. Der Fahrer wird deshalb nicht zusätzlich persönlich nach § 18 StVG verklagt. Die eigenständige Halterhaftung der Beklagten bleibt bestehen.</w:t>
      </w:r>
    </w:p>
    <w:p>
      <w:r>
        <w:t>Auch der Hinweis auf eine denkbare andere Ersatzquelle greift nicht durch: Der Streit betrifft gewöhnliche Teilnahme am Straßenverkehr; hierzu behandelt die genannte Entscheidung die Grenze des § 839 Abs. 1 Satz 2 BGB. Eine Versicherungsleistung an den Kläger liegt überdies nicht vor. Ob die Beklagte intern Versicherungsschutz oder einen kommunalen Ausgleich besitzt, ist für die eingeklagte Außenforderung unerheblich. Ein bestimmter Versicherer oder Ausgleichsverband wird nicht als weiterer Schuldner behauptet.</w:t>
      </w:r>
    </w:p>
    <w:p>
      <w:pPr>
        <w:pStyle w:val="Heading1"/>
      </w:pPr>
      <w:r>
        <w:t>5 Reparaturschaden</w:t>
      </w:r>
    </w:p>
    <w:p>
      <w:r>
        <w:t>Die Werkstatt Korbinian Dorn richtete die linke hintere Tür und lackierte sie nach Vorbereitung neu. Die Rechnung KD-260916 weist zweimal sechs Arbeitsstunden zu jeweils 95,00 EUR, mithin 570,00 EUR für das Richten und 570,00 EUR für die Lackierarbeit, aus. Hinzu kommen 360,00 EUR Lackmaterial, 200,00 EUR für Demontage und Montage sowie 100,00 EUR für die beschädigte Zierleiste. Der Nettobetrag beträgt 1.800,00 EUR, die tatsächlich berechnete Umsatzsteuer 342,00 EUR und der bezahlte Gesamtbetrag 2.142,00 EUR.</w:t>
      </w:r>
    </w:p>
    <w:p>
      <w:r>
        <w:t>Beweis: Rechnung mit Zahlungsbestätigung, Anlage K5; ergänzende Auskunft, Anlage K7; Zeugnis des Korbinian Dorn, Karosseriewerkstatt Korbinian Dorn, Spindelgasse 4, 97082 Lindenquell. Der Zeuge kann die vorgefundene Eindellung, den Arbeitsumfang und die Zahlung am 16.09.2026 bestätigen. Zum technischen Zusammenhang zwischen dem beschriebenen seitlichen Kontakt und den abgerechneten Arbeiten wird erforderlichenfalls die Einholung eines kraftfahrzeugtechnischen Sachverständigengutachtens angeboten. Als Anknüpfungstatsachen dienen der konkrete Berührungsbereich, der Fahrerbericht und die werkstattseitig erhaltenen Aufnahmebilder, deren Herausgabe der Kläger bereits erbeten hat. Diese Bilder sind mangels bisheriger Dateiübermittlung noch keine Anlage dieser Klage.</w:t>
      </w:r>
    </w:p>
    <w:p>
      <w:r>
        <w:t>Ein älterer Kratzer an der rechten vorderen Stoßstange wurde von der Werkstatt bei Annahme getrennt vermerkt und weder beseitigt noch abgerechnet. Der Kläger verlangt keine Aufwertung des gesamten Fahrzeugs. Die bezahlte Rechnung ersetzt zwar nicht die Prüfung der Unfallursächlichkeit jeder Position; zusammen mit der örtlich begrenzten Beschädigung und dem werkstattseitigen Befund belegt sie hier die erforderliche Wiederherstellung nach § 249 Abs. 2 BGB. Eine unwirtschaftliche Ersatzbeschaffung oder ein Totalschaden wird nicht behauptet.</w:t>
      </w:r>
    </w:p>
    <w:p>
      <w:r>
        <w:t>Der Bruttoansatz folgt aus der tatsächlich durchgeführten, vollständig bezahlten Reparatur. Der Kläger ist Rentner und betreibt kein Unternehmen. Ein Vorsteuerabzug steht ihm für dieses Fahrzeug nicht zu. Die Umsatzsteuer wird daher nicht lediglich aus einem unverbindlichen Kostenvoranschlag übernommen. Die Parteianhörung des Klägers wird zur privaten Nutzung und zur Zahlung ergänzend angeregt; die objektive Rechnungs- und Zahlungsbestätigung bleibt das vorrangige Beweismittel.</w:t>
      </w:r>
    </w:p>
    <w:p>
      <w:pPr>
        <w:pStyle w:val="Heading1"/>
      </w:pPr>
      <w:r>
        <w:t>6 Werkstattfahrten und Gesamtbetrag</w:t>
      </w:r>
    </w:p>
    <w:p>
      <w:r>
        <w:t>Der Wagen war zunächst fahrbereit und wurde am 15.09.2026 um 08:00 Uhr zur Reparatur gebracht. Die Abholung erfolgte am 16.09.2026 um 16:20 Uhr. Der Kläger fuhr nach Abgabe und zur Abholung jeweils mit Taxi Nadir Nuss zwischen Werkstatt und Wohnung. Die Quittungen 5118 und 5146 weisen jeweils 23,40 EUR einschließlich Umsatzsteuer aus. Zusammen sind dies 46,80 EUR. Trinkgelder oder weitere Besorgungsfahrten sind nicht enthalten.</w:t>
      </w:r>
    </w:p>
    <w:p>
      <w:r>
        <w:t>Beweis: Taxibelege und Erläuterung, Anlage K6; Zeugnis des Nadir Nuss, Taxi Nadir Nuss, Holundersteig 5, 97082 Lindenquell. Die beiden Wege dienten unmittelbar der Durchführung der Reparatur. Der zweite Familienwagen stand zu den benötigten Zeiten nicht zur Verfügung, weil die Ehefrau ihn für ihre Frühschicht außerhalb des Orts benötigte. Dazu wird das Zeugnis der Irmgard Dinkel, Quittenbogen 12, 97082 Lindenquell, angeboten. Ein Mietwagen oder zusätzlicher Nutzungsausfall wird nicht verlangt.</w:t>
      </w:r>
    </w:p>
    <w:p>
      <w:r>
        <w:t>Die Gesamtsumme errechnet sich aus 2.142,00 EUR Reparaturkosten zuzüglich 46,80 EUR Beförderungskosten und beträgt 2.188,80 EUR. Die am 24.09.2026 zusätzlich verlangten 25,00 EUR werden nicht eingeklagt, weil der Kläger keine Einzelbelege gesammelt hat und diesen Nebenstreit vermeiden möchte. Dies verändert weder die Rechnungssumme noch die ursprüngliche Unfallschilderung. Außergerichtliche Anwaltskosten sind ebenfalls nicht Teil des Zahlungsantrags.</w:t>
      </w:r>
    </w:p>
    <w:p>
      <w:pPr>
        <w:pStyle w:val="Heading1"/>
      </w:pPr>
      <w:r>
        <w:t>7 Einwendungen und Beweiswürdigung</w:t>
      </w:r>
    </w:p>
    <w:p>
      <w:r>
        <w:t>Die Beklagte fordert in ihrem vorläufigen Schreiben vom 05.10.2026 Aufnahmebilder und nähere Angaben zur Nutzung des zweiten Familienwagens. Die Klägerseite legt die schon vorhandene Werkstattauskunft und die ergänzende Erklärung vor. Ein verbindliches Anerkenntnis wird aus dem Fahrerbericht nicht hergeleitet. Sein Gewicht liegt vielmehr in der zeitnahen konkreten Beschreibung eines eigenen Wahrnehmungsvorgangs, die mit der unabhängigen Zeugin und dem Schadenbild übereinstimmt.</w:t>
      </w:r>
    </w:p>
    <w:p>
      <w:r>
        <w:t>Für ein Mitverschulden nach § 254 BGB besteht nach den verfügbaren Tatsachen keine Grundlage. Der Kläger fuhr nicht, öffnete keine Tür und hatte den Wagen innerhalb der Parkbucht abgestellt. Die Zeugin bestätigt gerade diesen Standort. Es wird keine beliebige Quote allein wegen der Eigenschaft als Fahrzeughalter gebildet. Sollte die Beklagte eine konkrete Parkbehinderung geltend machen, müsste sie sich mit der beobachteten Lage und dem Streifbereich auseinandersetzen. Der Kläger bietet hierzu die bereits benannten Zeugen an.</w:t>
      </w:r>
    </w:p>
    <w:p>
      <w:r>
        <w:t>Eine vollständige Klärung durch die noch ausstehenden Fotos ist wünschenswert, aber nicht Voraussetzung dafür, den bewiesenen äußeren Ablauf zu schildern. Ebenso wenig wird aus dem Fehlen eines Fotos auf eine Beweisvereitelung geschlossen. Der Werkstattinhaber hat lediglich zwei Bilder aus der Annahme angekündigt; eine vollständige Unfallrekonstruktion hat er ausdrücklich nicht zugesagt.</w:t>
      </w:r>
    </w:p>
    <w:p>
      <w:pPr>
        <w:pStyle w:val="Heading1"/>
      </w:pPr>
      <w:r>
        <w:t>8 Zinsen und Verfahrensstand</w:t>
      </w:r>
    </w:p>
    <w:p>
      <w:r>
        <w:t>Der Zinsantrag beruht auf §§ 291, 288 Abs. 1 Satz 2 BGB und knüpft allein an eine künftige Zustellung an. Ein Zustellungstag wird nicht vorweggenommen. Auf einen bereits eingetretenen Verzug, eine abgelaufene Zahlungsfrist oder eine ernsthafte endgültige Erfüllungsverweigerung stützt sich der Kläger nicht. Seine ursprüngliche Bitte um Antwort bis 12.10.2026 ist am Entwurfsstand noch offen. Die vorläufige Antwort vom 05.10.2026 enthält noch keine abschließende Sachentscheidung.</w:t>
      </w:r>
    </w:p>
    <w:p>
      <w:r>
        <w:t>Eine Einigung wurde bislang nicht erreicht; der laufende Schriftwechsel eröffnet weiterhin eine außergerichtliche Lösung. Dieser Entwurf dient der Vorbereitung und liegt nicht beim Gericht. Zur Entscheidung durch den Einzelrichter bestehen keine Bedenken. Ein besonderer Antrag auf Videoverhandlung wird derzeit nicht gestellt. Die Anlagen K10 und K11 bilden den bislang erreichten außergerichtlichen Stand ab und sind bei einer späteren Einreichung um zwischenzeitliche Zahlungen oder weitere Erklärungen zu ergänzen.</w:t>
      </w:r>
    </w:p>
    <w:p>
      <w:pPr>
        <w:pStyle w:val="Heading1"/>
      </w:pPr>
      <w:r>
        <w:t>9 Anlagenverzeichnis</w:t>
      </w:r>
    </w:p>
    <w:p>
      <w:r>
        <w:t>K1: Forderung Dinkel vom 24.09.2026 mit ursprünglicher Berechnung.</w:t>
        <w:br/>
        <w:t>Datei: 07_Forderung.eml</w:t>
      </w:r>
    </w:p>
    <w:p>
      <w:r>
        <w:t>K2: Fahrerbericht Quast vom 08.09.2026 zum Streifkontakt.</w:t>
        <w:br/>
        <w:t>Datei: 02_Fahrerbericht.docx</w:t>
      </w:r>
    </w:p>
    <w:p>
      <w:r>
        <w:t>K3: Fuhrparkauskunft und Einsatzauftrag vom 09.09.2026.</w:t>
        <w:br/>
        <w:t>Datei: 03_Fahrzeug_und_Einsatz.docx</w:t>
      </w:r>
    </w:p>
    <w:p>
      <w:r>
        <w:t>K4: Unabhängige Schilderung Amani vom 11.09.2026.</w:t>
        <w:br/>
        <w:t>Datei: 04_Zeugin.eml</w:t>
      </w:r>
    </w:p>
    <w:p>
      <w:r>
        <w:t>K5: Rechnung KD-260916 einschließlich Zahlungsbestätigung und Vorschadenabgrenzung.</w:t>
        <w:br/>
        <w:t>Datei: 05_Reparaturrechnung.docx</w:t>
      </w:r>
    </w:p>
    <w:p>
      <w:r>
        <w:t>K6: Beide Werkstattfahrten und Erläuterung des Ersatzbedarfs.</w:t>
        <w:br/>
        <w:t>Datei: 06_Taxibelege.docx</w:t>
      </w:r>
    </w:p>
    <w:p>
      <w:r>
        <w:t>K7: Werkstattauskunft Dorn vom 01.10.2026.</w:t>
        <w:br/>
        <w:t>Datei: 09_Werkstatt_Rueckfrage.eml</w:t>
      </w:r>
    </w:p>
    <w:p>
      <w:r>
        <w:t>K8: Ergänzung und Begrenzung der geltend gemachten Summe vom 05.10.2026.</w:t>
        <w:br/>
        <w:t>Datei: schriftverkehr-und-klage/01_Mandantenmail.eml</w:t>
      </w:r>
    </w:p>
    <w:p>
      <w:r>
        <w:t>K9: Ergänzende Erreichbarkeit und Beobachtungsgrenzen der Zeugin Amani.</w:t>
        <w:br/>
        <w:t>Datei: schriftverkehr-und-klage/02_Ergaenzende_Auskunft.eml</w:t>
      </w:r>
    </w:p>
    <w:p>
      <w:r>
        <w:t>K10: Anwaltliches Anspruchsschreiben vom 05.10.2026.</w:t>
        <w:br/>
        <w:t>Datei: schriftverkehr-und-klage/04_Anspruchsschreiben.pdf</w:t>
      </w:r>
    </w:p>
    <w:p>
      <w:r>
        <w:t>K11: Vorläufige Antwort der Stadt vom 05.10.2026.</w:t>
        <w:br/>
        <w:t>Datei: schriftverkehr-und-klage/05_Antwort.pdf</w:t>
      </w:r>
    </w:p>
    <w:p>
      <w: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Dinkel gegen Stadt Lindenquell</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