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Historischer Klagevorentwurf: Erkenntnisstand 22. September</w:t>
      </w:r>
    </w:p>
    <w:p>
      <w:r>
        <w:t>HISTORISCHER VORENTWURF – ÜBERHOLT – NICHT EINREICHBAR</w:t>
        <w:br/>
        <w:t>Redaktionell ausgefertigt am 5. Oktober 2026. Der nachfolgende gerichtliche Entwurf rekonstruiert ausschließlich den Erkenntnisstand vom 22. September 2026.</w:t>
        <w:br/>
        <w:t>Späterer Archivhinweis: Der Teilvergleich vom 23. September 2026 und die vollständige Zahlung von insgesamt 13,2 Millionen EUR haben die hier vorbereiteten Forderungen erledigt. Dieser Text ist keine aktuelle Klage und darf keine erneute Forderung auslösen. Die späteren Unterlagen sind nicht Beweismittel des nachfolgenden historischen Vortrags.</w:t>
      </w:r>
    </w:p>
    <w:p>
      <w:r>
        <w:t>Historischer Entwurfsstand: Würzburg, 22. September 2026</w:t>
      </w:r>
    </w:p>
    <w:p>
      <w:r>
        <w:t>An das Landgericht Würzburg</w:t>
        <w:br/>
        <w:t>Ottostraße 5</w:t>
        <w:br/>
        <w:t>97070 Würzburg</w:t>
      </w:r>
    </w:p>
    <w:p>
      <w:r>
        <w:t>Nora Winter, geboren am 14. Februar 2016, Auenpfad 7, 97072 Würzburg, gemeinsam gesetzlich vertreten durch ihre sorgeberechtigten Eltern Hannah Winter und Tobias Winter, beide ebenda,</w:t>
        <w:br/>
        <w:t>– Klägerin –</w:t>
        <w:br/>
        <w:t>Prozessbevollmächtigter: Rechtsanwalt Selim Berg, Kanzlei Berg &amp; Auen, Auenring 11, 97072 Würzburg,</w:t>
      </w:r>
    </w:p>
    <w:p>
      <w:r>
        <w:t>gegen</w:t>
      </w:r>
    </w:p>
    <w:p>
      <w:r>
        <w:t>Klinik Mainblick GmbH, Mainauenweg 18, 97074 Würzburg, vertreten durch ihre Geschäftsführerin Mareike Seidel,</w:t>
        <w:br/>
        <w:t>– Beklagte –</w:t>
      </w:r>
    </w:p>
    <w:p>
      <w:r>
        <w:t>wegen weiterer Entschädigung für einen Geburtsschaden.</w:t>
        <w:br/>
        <w:t>Vorläufiger Streitwert des historischen Entwurfs: 680.000,00 EUR.</w:t>
      </w:r>
    </w:p>
    <w:p>
      <w:pPr>
        <w:pStyle w:val="Heading1"/>
      </w:pPr>
      <w:r>
        <w:t>1. Historisch vorbereitete Anträge und deren Reichweite</w:t>
      </w:r>
    </w:p>
    <w:p>
      <w:r>
        <w:t>Auf dem Stand vom 22. September 2026 wären folgende Anträge zur Entscheidung der gesetzlichen Vertreterinnen und Vertreter vorbereitet worden:</w:t>
      </w:r>
    </w:p>
    <w:p>
      <w:r>
        <w:t>1. Die Beklagte wird verurteilt, an die Klägerin über den bereits geleisteten Schmerzensgeldvorschuss von 300.000 EUR hinaus ein weiteres angemessenes, in das Ermessen des Gerichts gestelltes Schmerzensgeld zu zahlen, dessen zusätzliche Höhe nach Vorstellung der Klägerin 600.000 EUR nicht unterschreiten sollte, nebst Zinsen in Höhe von fünf Prozentpunkten über dem jeweiligen Basiszinssatz seit dem Tag nach Zustellung der Klage.</w:t>
        <w:br/>
        <w:t>2. Die Beklagte wird verurteilt, an die Klägerin 80.000 EUR nebst Zinsen in Höhe von fünf Prozentpunkten über dem jeweiligen Basiszinssatz seit dem Tag nach Zustellung der Klage zu zahlen.</w:t>
        <w:br/>
        <w:t>3. Der Beklagten werden die Kosten des Rechtsstreits auferlegt.</w:t>
      </w:r>
    </w:p>
    <w:p>
      <w:r>
        <w:t>Der materielle Antrag zu 2 ist eine offen erklärte, sachlich abgegrenzte Teilklage: Er erfasst ausschließlich den nach Anrechnung des zweckgebundenen Abschlags verbleibenden Betrag der bereits bezahlten Rechnung RW-260828 der Raumweg Bau GmbH. Frühere Pflege- und Betreuungskosten, künftiger Mehrbedarf, Erwerbsschäden und andere Wohnkosten sind nicht Gegenstand dieses Zahlungsbegehrens. Eine beliebige Quote aus einem unaufgeschlüsselten Millionenbetrag wird nicht verlangt.</w:t>
      </w:r>
    </w:p>
    <w:p>
      <w:r>
        <w:t>Der Schmerzensgeldantrag wird dagegen nicht künstlich auf einzelne Jahre oder einzelne bereits bekannte Folgen begrenzt. Er verlangt eine einheitliche Entschädigung unter Einbeziehung sämtlicher im historischen Beurteilungszeitpunkt erkennbarer und vorhersehbarer Verletzungsfolgen. Die Klägerin rechnet den Vorschuss vollständig an. Unvorhersehbare spätere Entwicklungen wären nach den dafür geltenden Voraussetzungen gesondert zu beurteilen; ein pauschaler Vorbehalt macht bereits vorhersehbare Folgen nicht zu einem neuen Schmerzensgeldanspruch.</w:t>
      </w:r>
    </w:p>
    <w:p>
      <w:r>
        <w:t>Eine weitere Feststellungsklage wird nicht vorbereitet. Das Anerkenntnis vom 15. Juni 2018 enthält bereits die dort näher bestimmte Wirkung einer rechtskräftigen Feststellung und einen Verjährungsverzicht. Ein zusätzliches Feststellungsinteresse müsste über diesen bestehenden Schutz hinaus konkret dargelegt werden. Der vorliegende Entwurf konzentriert sich deshalb auf zwei bezifferbare beziehungsweise gerichtlich zu bemessende Zahlungspositionen.</w:t>
      </w:r>
    </w:p>
    <w:p>
      <w:pPr>
        <w:pStyle w:val="Heading1"/>
      </w:pPr>
      <w:r>
        <w:t>2. Parteien, Zuständigkeit und bestehendes Anerkenntnis</w:t>
      </w:r>
    </w:p>
    <w:p>
      <w:r>
        <w:t>Die Klägerin ist das behandelte und geschädigte Kind. Ihre Eltern handeln gemeinsam für sie; eigene persönliche Ansprüche der Eltern werden nicht geltend gemacht. Die Beklagte ist die Trägerin der Klinik. Der Versicherer und ein interner Schadenausgleich sind keine weiteren Beklagten dieses Entwurfs. Eine interne Rückdeckungsrechnung schafft keinen unmittelbaren Zahlungsanspruch des Kindes.</w:t>
      </w:r>
    </w:p>
    <w:p>
      <w:r>
        <w:t>Das Landgericht ist sowohl wegen des über 10.000 EUR liegenden Streitwerts nach § 71 Abs. 1 GVG als auch nach § 71 Abs. 2 Nr. 9 GVG für Streitigkeiten aus Heilbehandlungen unabhängig vom Streitwert zuständig. Die 2026 geltende besondere Zuständigkeit wird neben der Wertzuständigkeit benannt. Sitz der Beklagten und Behandlungsort liegen in Würzburg; die örtliche Zuständigkeit folgt aus §§ 12, 17 und 32 ZPO. Eine tatsächliche Einreichung, Zustellung oder Geschäftsverteilung zu einer bestimmten Kammer wird nicht behauptet.</w:t>
      </w:r>
    </w:p>
    <w:p>
      <w:r>
        <w:t>Die Frankenbogen Kommunalversicherung VVaG erklärte am 15. Juni 2018 namens und mit Vollmacht der Beklagten die volle Haftung für die durch den Geburtsfehler verursachten materiellen und immateriellen Schäden einschließlich künftiger Folgen, soweit Ansprüche nicht auf Dritte übergegangen sind. Ein Mitverschulden von Mutter oder Kind wurde nicht eingewandt. Das Anerkenntnis soll im festgehaltenen Umfang wie ein am 15. Juni 2018 rechtskräftig gewordenes Feststellungsurteil wirken; die Verjährungseinrede wurde bis zum 15. Juni 2048 ausgeschlossen. Es ist dennoch kein unmittelbar vollstreckbarer Zahlungstitel über jede künftig benannte Summe.</w:t>
      </w:r>
    </w:p>
    <w:p>
      <w:r>
        <w:t>Beweis: Anerkenntnis K3; historische Bestätigung K8 und Antwort K10. Einwendungen zur konkreten Schadenshöhe, zur Kausalität einzelner Ausgaben und zu übergegangenen Ansprüchen sind von der bereits anerkannten Haftung dem Grunde nach zu unterscheiden.</w:t>
      </w:r>
    </w:p>
    <w:p>
      <w:pPr>
        <w:pStyle w:val="Heading1"/>
      </w:pPr>
      <w:r>
        <w:t>3. Geburtsverlauf und Folgen</w:t>
      </w:r>
    </w:p>
    <w:p>
      <w:r>
        <w:t>Die Klägerin wurde am 14. Februar 2016 um 03:04 Uhr in der Klinik der Beklagten geboren. Der Dokumentationsauszug verzeichnet späte Dezelerationen ab 01:58 Uhr, die Kontaktaufnahme der Hebamme um 02:08 Uhr und eine ärztliche Untersuchung um 02:14 Uhr. Erst um 02:38 Uhr wurde die Sectio entschieden; um 02:42 Uhr erfolgte die OP-Alarmierung. Nach der Geburt bestand eine schwere Hypoxie mit dokumentiertem Nabelarterien-pH von 6,93 und Basendefizit von 18. Es folgten Reanimation, neonatologische Behandlung und Befunde einer hypoxisch-ischämischen Schädigung.</w:t>
      </w:r>
    </w:p>
    <w:p>
      <w:r>
        <w:t>Beweis: Dokumentationsauszug K1. Für einen gerichtlichen Sachverständigen wären zusätzlich die vollständigen CTG-Aufzeichnungen, Kreißsaal-, OP- und Neonatologieunterlagen aus dem Klinikarchiv beizuziehen; der Auszug wird nicht als vollständige Ausgangsakte ausgegeben.</w:t>
      </w:r>
    </w:p>
    <w:p>
      <w:r>
        <w:t>Die geburtshilfliche Beurteilung von Dr. Elin Rosenthal vom 23. April 2018 beruht nach ihrem Bericht auf den vollständigen damaligen Unterlagen. Danach hätte spätestens um 02:14 Uhr eine dringliche Entbindung veranlasst werden müssen; das Abwarten bis 02:38 Uhr war nicht gerechtfertigt. Sie bewertet den Zusammenhang zwischen Verzögerung und schwerer Schädigung als hoch wahrscheinlich und nennt keine andere wesentliche Ursache. Die abweichende Erinnerung an den Zeitpunkt einer Oberarztbenachrichtigung ändert ihre Bewertung des maßgeblichen Entscheidungszeitpunkts nicht.</w:t>
      </w:r>
    </w:p>
    <w:p>
      <w:r>
        <w:t>Beweis: Gutachten K2; erforderlichenfalls geburtshilfliches Sachverständigengutachten unter Einbeziehung der vollständigen Dokumentation. Der Entwurf erklärt den Fehler nicht eigenständig zu einem bereits gerichtlich festgestellten groben Behandlungsfehler. Eine Beweislastumkehr wird nicht ohne Prüfung ihrer Voraussetzungen behauptet. Der medizinische Maßstab ist derjenige des Behandlungszeitpunkts 2016; spätere Leitlinien werden nicht rückwirkend zu damaligen Pflichten gemacht.</w:t>
      </w:r>
    </w:p>
    <w:p>
      <w:r>
        <w:t>Der aktuelle sozialpädiatrische Bericht vom 11. Juni 2026 beschreibt eine schwere zerebrale Bewegungsstörung mit umfassendem Hilfebedarf bei Transfers, Selbstversorgung und Nahrungsaufnahme, Entwicklungsbeeinträchtigungen und Epilepsie. Die Klägerin benötigt Begleitung und kann zentrale Verrichtungen nicht selbständig ausführen. Wahrnehmungs- und Kontaktmöglichkeiten bestehen; die Schwere der Einschränkungen wird nicht dadurch aufgehoben. Die Eltern schildern einen durch Versorgung und Unterstützung bestimmten Tagesablauf. Zu einzelnen nächtlichen Verrichtungen beruhen die Angaben auf ihren Aufzeichnungen, nicht auf einer durchgehenden ärztlichen Beobachtung.</w:t>
      </w:r>
    </w:p>
    <w:p>
      <w:r>
        <w:t>Beweis: Bericht K4; Elternnachricht K5. Für die individuelle Schmerzensgeldbemessung wird ergänzend neuropädiatrischer Sachverständigenbeweis zu Funktionsniveau, dauerhaften Beeinträchtigungen und vorhersehbaren Folgen angeboten. Eine genaue Lebenszeitprognose ist in den vorhandenen Unterlagen nicht enthalten und wird nicht erfunden.</w:t>
      </w:r>
    </w:p>
    <w:p>
      <w:pPr>
        <w:pStyle w:val="Heading1"/>
      </w:pPr>
      <w:r>
        <w:t>4. Weiteres Schmerzensgeld</w:t>
      </w:r>
    </w:p>
    <w:p>
      <w:r>
        <w:t>Der Anspruch ergibt sich aus der anerkannten Haftung sowie den vertraglichen und deliktischen Grundlagen, insbesondere §§ 630a, 280 Abs. 1, 278, 823 Abs. 1 und 253 Abs. 2 BGB. Soweit der Behandlungsvertrag mit der Mutter geschlossen wurde, ist die Einbeziehung des Kindes in dessen Schutzbereich zu berücksichtigen; daneben besteht der eigene deliktische Schutz seiner körperlichen Integrität. Die verbindliche Erklärung der Beklagten beseitigt hier die Notwendigkeit, einen allein aus der Rechtsform der Klinik abgeleiteten öffentlich-rechtlichen Haftungsweg zu konstruieren.</w:t>
      </w:r>
    </w:p>
    <w:p>
      <w:r>
        <w:t>Die Klägerin hält angesichts der seit der Geburt bestehenden gravierenden und dauerhaften Beeinträchtigungen ein Gesamt-Schmerzensgeld von 900.000 EUR für angemessen und macht nach Abzug der gezahlten 300.000 EUR eine weitere Orientierung von 600.000 EUR geltend. Der Betrag wird nicht aus einem Vergleich mit einer anderen Person oder aus einer festen Tagessumme abgeleitet. Er ist ein begründungsbedürftiger Antrag an das Gericht, dessen Bemessungsermessen durch die Zahl nicht ersetzt wird.</w:t>
      </w:r>
    </w:p>
    <w:p>
      <w:r>
        <w:t>Gewicht haben insbesondere der frühe Schadenseintritt, die alltagsprägende Abhängigkeit von Hilfe, der Verlust erheblicher Möglichkeiten selbstbestimmter Lebensgestaltung, körperliche Belastungen durch Behandlung und Versorgung sowie die Dauerhaftigkeit der wesentlichen Einschränkungen. Die Klägerin stützt sich dabei auf die konkreten Befunde. Sie behauptet keine lückenlos dokumentierten Schmerzen gleicher Intensität an jedem Tag und keine medizinisch gesicherte Restlebensdauer. Eine schematische Multiplikation eines Tagesbetrags mit angenommenen Lebensjahren wäre hierfür keine tragfähige Bemessung.</w:t>
      </w:r>
    </w:p>
    <w:p>
      <w:r>
        <w:t>Die Gegenseite kann die Höhe trotz Anerkenntnisses überprüfen lassen. Zu berücksichtigen ist deshalb, dass die medizinischen Unterlagen noch sachverständig vertieft werden können und der genannte Gesamtbetrag nicht als unstreitig gelten darf. Die bereits lange geleistete Zahlung von 300.000 EUR wird in voller Höhe auf den immateriellen Gesamtanspruch angerechnet; sie wird weder als zusätzlicher Schaden noch als unberührte Pauschale neben einer neuen Vollentschädigung behandelt. Materielle Pflege- oder Bauzahlungen mindern das Schmerzensgeld nicht ohne entsprechende Zweckbestimmung.</w:t>
      </w:r>
    </w:p>
    <w:p>
      <w:pPr>
        <w:pStyle w:val="Heading1"/>
      </w:pPr>
      <w:r>
        <w:t>5. Verbleibende Wohnanpassungskosten</w:t>
      </w:r>
    </w:p>
    <w:p>
      <w:r>
        <w:t>Die Raumweg Bau GmbH stellte am 28. August 2026 für den am 12. Januar beauftragten und am 20. August abgenommenen Umbau 180.000 EUR brutto in Rechnung. Gegenstand waren der stufenlose Zugang, erforderliche Türanpassungen, das Pflegebad und die Vorbereitung eines Deckenlifts. Am 5. Februar wurden 100.000 EUR aus dem hierfür bestimmten Vorschuss bezahlt. Die restlichen 80.000 EUR wurden am 4. September von Noras Konto überwiesen. Die Rechnung ist damit vollständig bezahlt, der Schaden durch die Rechnungshöhe aber noch nicht in jeder rechtlichen Hinsicht abschließend bewertet.</w:t>
      </w:r>
    </w:p>
    <w:p>
      <w:r>
        <w:t>Beweis: Rechnung einschließlich Zahlungsvermerken K6; Elternbestätigung K7; Zuordnungsbestätigung der Beklagten K8. Die Originalzahlungsbelege sind vor einer gerichtlichen Einreichung den Vermerken zuzuordnen und bei Bestreiten vorzulegen. Eine erst nach dem historischen Stichtag erstellte Gesamtabrechnung wird hierfür nicht verwendet.</w:t>
      </w:r>
    </w:p>
    <w:p>
      <w:r>
        <w:t>Die Aufwendungen dienen der notwendigen Versorgung des verletzten Kindes und sind nach §§ 249, 843 Abs. 1 BGB als verletzungsbedingter Mehrbedarf zu prüfen. Das Haus gehört den Eltern. Das schließt einen auf die notwendige Nutzung für Nora gerichteten Aufwand nicht allein deshalb aus, erfordert aber die klare Trennung von kindbedingten Mehrkosten und allgemeiner Verbesserung des Elternvermögens. Nach K7 sind keine allgemeine Küchenmodernisierung, Terrasse oder Wohnraumerweiterung eingerechnet. Die einzelnen Arbeiten passen zu den in K4 belegten Transfer- und Versorgungsbedürfnissen.</w:t>
      </w:r>
    </w:p>
    <w:p>
      <w:r>
        <w:t>Zur medizinischen und bautechnischen Erforderlichkeit der konkreten Anpassungen wird Sachverständigenbeweis angeboten. Ein etwaiger eigenständiger Vermögensvorteil, eine über das Notwendige hinausgehende Ausführung oder Leistungen eines anderen Kostenträgers sind konkret abzugrenzen. Der Entwurf leitet aus der Zahlung der Rechnung keine unwiderlegbare Erforderlichkeit ab. Die Klägerin und ihre Vertreter werden vorhandene Drittleistungsbescheide offenlegen. Ein Übergang nach den sozialrechtlichen Regeln darf nicht durch eine doppelte private Inanspruchnahme umgangen werden.</w:t>
      </w:r>
    </w:p>
    <w:p>
      <w:r>
        <w:t>Die Klägerin ist insoweit private Endverbraucherin ohne Vorsteuerabzug. Die tatsächlich angefallene und bezahlte Umsatzsteuer ist Bestandteil des Aufwandes. Nach zweckbezogener Anrechnung der bereits hierfür verwendeten 100.000 EUR verbleiben die verlangten 80.000 EUR. Die zusätzlich gezahlten 800.000 EUR betrafen nach K8 andere bisherige materielle Mehrbedarfspositionen; sie werden nicht erneut als offener Schaden verlangt und nicht ohne Anlass ein zweites Mal auf dieselbe Wohnrechnung angerechnet.</w:t>
      </w:r>
    </w:p>
    <w:p>
      <w:pPr>
        <w:pStyle w:val="Heading1"/>
      </w:pPr>
      <w:r>
        <w:t>6. Nicht erhobene Zukunftspositionen und Verfahrensstand</w:t>
      </w:r>
    </w:p>
    <w:p>
      <w:r>
        <w:t>Aus dem Assistenzangebot und familiären Bildungsangaben wird in diesem Entwurf keine pauschale Millionenforderung kapitalisiert. Für laufend entstehenden künftigen Mehrbedarf sieht § 843 BGB grundsätzlich die wiederkehrende Leistung vor. Eine Kapitalabfindung nach § 843 Abs. 3 BGB verlangt einen wichtigen Grund; weder ein bloßer Rechenwunsch noch die Verwendung einer runden Verhandlungssumme ersetzt diese Voraussetzung. Ebenso fehlt eine belastbare individuelle Berechnung eines gesamten künftigen Erwerbsschadens. Diese Fragen sind hier nicht entscheidungsreif und bleiben außerhalb der beiden Zahlungsanträge.</w:t>
      </w:r>
    </w:p>
    <w:p>
      <w:r>
        <w:t>Mit K9 wurde eine Reaktion bis zum 30. September erbeten. Am historischen Entwurfstag 22. September war diese Frist noch offen; die Antwort K10 enthielt keine verbindliche Einigung auf die geforderte Höhe. Vorgerichtlicher Verzug wird deshalb nicht fingiert. Die Anträge sehen ausschließlich Prozesszinsen nach §§ 291, 288 Abs. 1 Satz 2 BGB ab dem Tag nach einer erst noch möglichen Zustellung vor. Auch ein bereits entstandener Prozesskostenschaden wird nicht behauptet.</w:t>
      </w:r>
    </w:p>
    <w:p>
      <w:r>
        <w:t>Dieser historische Entwurf hätte vor einer Einreichung die abschließende Entscheidung der gesetzlichen Vertreter, die vollständige Anlagenprüfung und die Abstimmung mit dem Stand der laufenden Vergleichsgespräche erfordert. Er erklärt weder die allgemeinen materiellen Rechte insgesamt für erledigt noch verlangt er bereits abgegoltene Positionen ein zweites Mal. Nach dem später eingetretenen, im Archivkopf erläuterten Vergleich und dessen Zahlung darf er tatsächlich nicht eingereicht werden.</w:t>
      </w:r>
    </w:p>
    <w:p>
      <w:r>
        <w:t>Selim Berg</w:t>
        <w:br/>
        <w:t>Rechtsanwalt – historischer, überholter Vorentwurf</w:t>
      </w:r>
    </w:p>
    <w:p>
      <w:pPr>
        <w:pStyle w:val="Heading1"/>
      </w:pPr>
      <w:r>
        <w:t>7. Anlagenverzeichnis</w:t>
      </w:r>
    </w:p>
    <w:p>
      <w:r>
        <w:t>K1: Geburtsverlauf und frühe Befunde; nur Auszug, vollständige Ausgangsakte gesondert vorzulegen</w:t>
        <w:br/>
        <w:t>Datei: 03_Geburtsdokumentation.docx</w:t>
      </w:r>
    </w:p>
    <w:p>
      <w:r>
        <w:t>K2: Beurteilung vom 23.04.2018 zu Verzögerung und Kausalität</w:t>
        <w:br/>
        <w:t>Datei: 04_Gutachten_Geburtshilfe.docx</w:t>
      </w:r>
    </w:p>
    <w:p>
      <w:r>
        <w:t>K3: Anerkenntnis mit Feststellungswirkung, Verjährungsverzicht und Schmerzensgeldvorschuss</w:t>
        <w:br/>
        <w:t>Datei: 05_Haftungsanerkenntnis.docx</w:t>
      </w:r>
    </w:p>
    <w:p>
      <w:r>
        <w:t>K4: Aktueller Funktions- und Unterstützungsbedarf im Juni 2026</w:t>
        <w:br/>
        <w:t>Datei: 07_Pflegebericht.docx</w:t>
      </w:r>
    </w:p>
    <w:p>
      <w:r>
        <w:t>K5: Elternangaben zum Alltag und zur Vertretung allein des Kindes</w:t>
        <w:br/>
        <w:t>Datei: 06_Eltern_Pflegealltag.eml</w:t>
      </w:r>
    </w:p>
    <w:p>
      <w:r>
        <w:t>K6: 180.000 EUR Rechnung, zweckgebundener Abschlag 100.000 EUR und Restzahlung 80.000 EUR</w:t>
        <w:br/>
        <w:t>Datei: 17_Wohnanpassung.docx</w:t>
      </w:r>
    </w:p>
    <w:p>
      <w:r>
        <w:t>K7: Historische Bestätigung zur Finanzierung und Zweckabgrenzung</w:t>
        <w:br/>
        <w:t>Datei: schriftverkehr-und-klage/01_Eltern_Umbaukosten.eml</w:t>
      </w:r>
    </w:p>
    <w:p>
      <w:r>
        <w:t>K8: Historischer Zahlungs- und Prüfstand vor einem Vergleich</w:t>
        <w:br/>
        <w:t>Datei: schriftverkehr-und-klage/02_Klinik_Zwischenstand.eml</w:t>
      </w:r>
    </w:p>
    <w:p>
      <w:r>
        <w:t>K9: Historisches begrenztes Zahlungsbegehren</w:t>
        <w:br/>
        <w:t>Datei: schriftverkehr-und-klage/04_Forderung_vor_Vergleich.pdf</w:t>
      </w:r>
    </w:p>
    <w:p>
      <w:r>
        <w:t>K10: Historische Antwort ohne Anerkennung der verlangten Höhe</w:t>
        <w:br/>
        <w:t>Datei: schriftverkehr-und-klage/05_Antwort_vor_Vergleich.pdf</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Historischer Klagevorentwurf: Erkenntnisstand 22. September</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