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Entwurf einer offenen Teilklage – Trocknungskosten</w:t>
      </w:r>
    </w:p>
    <w:p>
      <w:r>
        <w:t>ENTWURF VOM 5. OKTOBER 2026 – NICHT EINGEREICHT</w:t>
        <w:br/>
        <w:t>Nur bezahlte Trocknungskosten; andere Positionen bleiben außerhalb dieses Verfahrensentwurfs.</w:t>
      </w:r>
    </w:p>
    <w:p>
      <w:r>
        <w:t>An das Amtsgericht Würzburg</w:t>
        <w:br/>
        <w:t>Ottostraße 5</w:t>
        <w:br/>
        <w:t>97070 Würzburg</w:t>
      </w:r>
    </w:p>
    <w:p>
      <w:r>
        <w:t>Eberhard Zimt, Einzelunternehmer unter der Bezeichnung Zimt &amp; Zange, Kaffeebogen 6, 97076 Würzburg,</w:t>
        <w:br/>
        <w:t>– Kläger –</w:t>
        <w:br/>
        <w:t>Prozessbevollmächtigte: Rechtsanwältin Alina Ahrens, Gerstenbogen 11, 97070 Würzburg,</w:t>
      </w:r>
    </w:p>
    <w:p>
      <w:r>
        <w:t>gegen</w:t>
      </w:r>
    </w:p>
    <w:p>
      <w:r>
        <w:t>Kommunalversorgung Mainbogen GmbH, Netzlaubenweg 4, 97076 Würzburg, vertreten durch den Geschäftsführer Konrad Fenn,</w:t>
        <w:br/>
        <w:t>– Beklagte –</w:t>
      </w:r>
    </w:p>
    <w:p>
      <w:r>
        <w:t>wegen Ersatzes von Trocknungskosten nach Wasseraustritt aus einer Straßenleitung.</w:t>
        <w:br/>
        <w:t>Vorläufiger Streitwert: 2.400,00 EUR.</w:t>
      </w:r>
    </w:p>
    <w:p>
      <w:pPr>
        <w:pStyle w:val="Heading1"/>
      </w:pPr>
      <w:r>
        <w:t>1. Anträge und genauer Gegenstand</w:t>
      </w:r>
    </w:p>
    <w:p>
      <w:r>
        <w:t>Für den Fall einer späteren Einreichung wird beantragt,</w:t>
      </w:r>
    </w:p>
    <w:p>
      <w:r>
        <w:t>1. die Beklagte zu verurteilen, an den Kläger 2.400,00 EUR nebst Zinsen in Höhe von fünf Prozentpunkten über dem jeweiligen Basiszinssatz seit dem Tag nach Zustellung der Klage zu zahlen;</w:t>
        <w:br/>
        <w:t>2. der Beklagten die Kosten des Rechtsstreits aufzuerlegen.</w:t>
      </w:r>
    </w:p>
    <w:p>
      <w:r>
        <w:t>Die Klage betrifft ausschließlich den Nettobetrag der Rechnung TR-260918 der Trockenwerk Tilda Tuch GmbH vom 18. September 2026. Sie wird als offene Teilklage aus dem Schadensereignis erhoben. Innerhalb dieser Rechnung werden die drei Positionen Abpumpen und Erstaufnahme, Gerätebetrieb sowie Reinigung und Feuchtemessung vollständig verlangt. Es handelt sich nicht um einen beliebig herausgelösten Teil eines ungegliederten Gesamtschadens.</w:t>
      </w:r>
    </w:p>
    <w:p>
      <w:r>
        <w:t>Nicht Gegenstand sind Mühlenreparatur oder Mühlenersatz, elektrische Instandsetzung, weitere Gebäudearbeiten und ein Erwerbsschaden. Der Kläger übernimmt insbesondere seine frühere überschlägige Anmeldung von 15.100 EUR nicht als fertige Schadenberechnung. Die dort enthaltenen 3.400 EUR waren Nettoumsatz und kein nachgewiesener Gewinn. Ein Verzicht auf außerhalb dieser Teilklage liegende Ansprüche wird nicht erklärt. Die gegenwärtige Teilforderung ist gegenüber jeder späteren Berechnung als bereits verlangte Position zu kennzeichnen, um Überschneidungen zu vermeiden.</w:t>
      </w:r>
    </w:p>
    <w:p>
      <w:pPr>
        <w:pStyle w:val="Heading1"/>
      </w:pPr>
      <w:r>
        <w:t>2. Zuständigkeit und Beteiligte</w:t>
      </w:r>
    </w:p>
    <w:p>
      <w:r>
        <w:t>Das Amtsgericht ist nach § 23 Nr. 1 GVG sachlich zuständig. Der 2026 maßgebliche allgemeine Zuständigkeitswert beträgt 10.000 EUR; die hier isoliert eingeklagte Forderung bleibt darunter. Es geht nicht um einen Amtshaftungsanspruch. Die Beklagte wird als Betreiberin einer Wasserleitungsanlage nach dem Haftpflichtgesetz in Anspruch genommen. Ein kommunaler Gesellschafter allein verändert diesen Anspruch nicht in Amtshaftung. Ihr Sitz befindet sich in Würzburg; auch Anlage, Schadensort und betroffener Betrieb liegen hier. Die örtliche Zuständigkeit folgt aus §§ 12, 17 ZPO und ergänzend dem örtlichen Bezug des Schadensereignisses nach § 32 ZPO.</w:t>
      </w:r>
    </w:p>
    <w:p>
      <w:r>
        <w:t>Der Kläger ist natürliche Person und führt das Geschäft als Einzelunternehmen. Die Geschäftsbezeichnung ist keine eigene juristische Person. Die Beklagte bestätigt ihre tatsächliche Betriebsverantwortung für den betroffenen Straßenabschnitt in K10. Damit hängt ihre Inhabereigenschaft nicht allein davon ab, ob ein Grundstücksregister die Leitung als Eigentum ausweist. Sie entscheidet über Einsatz, Unterhaltung und Absperrung und betreibt die Anlage auf eigene Rechnung.</w:t>
      </w:r>
    </w:p>
    <w:p>
      <w:pPr>
        <w:pStyle w:val="Heading1"/>
      </w:pPr>
      <w:r>
        <w:t>3. Schadensereignis und Herkunft des Wassers</w:t>
      </w:r>
    </w:p>
    <w:p>
      <w:r>
        <w:t>Am 14. September 2026 gegen 06:50 Uhr bemerkte die Mitarbeiterin Mira Ben Ami Wasser im Lagerkeller des Geschäfts Kaffeebogen 6. Um etwa 07:20 Uhr stand es an der tiefsten Stelle ungefähr zwölf Zentimeter hoch. Dort befanden sich eigene gebrauchte Vorführmühlen des Klägers. Wasser gelangte in deren Gehäuse; außerdem waren Boden, untere Wände und Steckdosen betroffen. Die erste telefonische Vermutung eines Heizungsrohrbruchs beruhte auf dem sichtbaren Wasser und war keine technische Feststellung.</w:t>
      </w:r>
    </w:p>
    <w:p>
      <w:r>
        <w:t>Beweis: Schadenmeldung K1; Zeugnis der Mira Ben Ami, zu laden über den Betrieb des Klägers, Kaffeebogen 6, 97076 Würzburg.</w:t>
      </w:r>
    </w:p>
    <w:p>
      <w:r>
        <w:t>Die Störungsmeldung ging um 07:04 Uhr bei der Beklagten ein. Ihr Netzteam sperrte den Straßenleitungsabschnitt um 07:42 Uhr ab. Danach ließ der Wassereintritt durch die Leitungsdurchführung in der Kelleraußenwand deutlich nach. Bei der Freilegung um 09:15 Uhr fand Einsatzleiter Severin Sprosse einen Längsriss in der Straßenverteilungsleitung. Die Schadstelle befand sich im öffentlichen Gehweg rund 1,5 Meter vor der Außenwand, nicht in der Hausleitung hinter dem Zähler. Ein gebrochenes Heizungsrohr wurde bei der Sichtkontrolle nicht gefunden; der angezeigte Heizungsdruck blieb unverändert. Nach Ersatz des gerissenen Stücks wurde die Leitung um 13:30 Uhr wieder in Betrieb genommen.</w:t>
      </w:r>
    </w:p>
    <w:p>
      <w:r>
        <w:t>Beweis: Einsatzbericht K2; Störungslog K3; Zeugnis des Severin Sprosse, zu laden über die Beklagte. Ergänzend wird bei substantiiertem Bestreiten ein wassertechnisches Sachverständigengutachten zum Zusammenhang zwischen äußerer Leckage, Eintrittsweg und Kellerüberflutung angeboten.</w:t>
      </w:r>
    </w:p>
    <w:p>
      <w:r>
        <w:t>Diese räumliche und zeitliche Folge trägt die Behauptung, dass Wasser aus der von der Beklagten betriebenen Leitung die Überflutung verursachte. Eine vollständige Materialuntersuchung liegt noch nicht vor. Der Kläger behauptet daher weder einen bestimmten Korrosionsmechanismus noch eine nachgewiesene schuldhafte Wartungslücke. Für die vorrangige Gefährdungshaftung ist die technische Ursache des Risses von seiner bereits belegten Funktion als Austrittsstelle zu unterscheiden.</w:t>
      </w:r>
    </w:p>
    <w:p>
      <w:pPr>
        <w:pStyle w:val="Heading1"/>
      </w:pPr>
      <w:r>
        <w:t>4. Erforderliche Maßnahmen und Anspruchszuordnung</w:t>
      </w:r>
    </w:p>
    <w:p>
      <w:r>
        <w:t>Der Kläger beauftragte am Schadenstag Trockenwerk Tilda Tuch. Das Unternehmen pumpte ab, nahm die Verunreinigungen auf, betrieb bis zum 18. September Trocknungsgeräte und führte Reinigung und Feuchtemessungen aus. Die Maßnahmen dienten dem Bergen und weiteren Schutz der eigenen Betriebssachen, der Wiederherstellung der Nutzbarkeit des gemieteten Raums und der Begrenzung fortschreitender Gebäudedurchfeuchtung. Sie umfassten weder eine neue Wandabdichtung noch Mühlen- oder Elektroreparaturen.</w:t>
      </w:r>
    </w:p>
    <w:p>
      <w:r>
        <w:t>Beweis: Rechnung und Zahlungsbestätigung K4; Erläuterung K5; Zeugnis der Tilda Tuch, Werkbogen 3, 97076 Würzburg.</w:t>
      </w:r>
    </w:p>
    <w:p>
      <w:r>
        <w:t>Die Rechnung lautet auf den Kläger. Er bezahlte am 19. September 2.856 EUR brutto. Da er für diese betrieblichen Eingangsleistungen zum Vorsteuerabzug berechtigt ist, verlangt er nur 2.400 EUR netto. Er hat keine Erstattung der Eigentümerin oder eines Versicherers erhalten. Rechnung und Zahlung allein ersetzen den Nachweis der Erforderlichkeit nicht. Diesen erbringt der Kläger durch den beschriebenen Wasserstand, die konkreten Arbeitspositionen und die Aussage der Auftragnehmerin. Für die Angemessenheit der angesetzten Kosten wird, falls diese konkret bestritten wird, Sachverständigenbeweis angeboten.</w:t>
      </w:r>
    </w:p>
    <w:p>
      <w:r>
        <w:t>Die Eigentümerin Walburga Waffel hatte den Keller an den Kläger vermietet. Soweit die einheitlichen Sofortmaßnahmen rechtlich ihrem Gebäudeschaden zuzuordnen sein sollten, hat sie am 3. Oktober ihre gegen die Beklagte bestehenden Ansprüche aus genau den Leistungen der Rechnung TR-260918 bis 2.400 EUR netto an den Kläger abgetreten. Dieser nahm am selben Tag an. Gegenstand und Schuldner sind bestimmt; weitergehende Wand-, Elektro- oder Mietpositionen bleiben ausgenommen. Die Abtretung dient nicht dazu, nicht bestehende Ansprüche zu erzeugen, sondern ordnet einen etwaigen Anspruch aus dieser einzigen Kostenposition zu.</w:t>
      </w:r>
    </w:p>
    <w:p>
      <w:r>
        <w:t>Beweis: Vermieterinnennachricht K6, Abtretungsangebot K7 und Annahme K8; Zeugnis der Walburga Waffel, Eibenhof 8, 97074 Würzburg.</w:t>
      </w:r>
    </w:p>
    <w:p>
      <w:r>
        <w:t>Der Kläger stützt die Forderung vorrangig auf eigene notwendige Aufwendungen zur Beseitigung der Folgen der Sachbeschädigung und hilfsweise, soweit das Gericht die Maßnahmen dem Gebäudeeigentum zuordnet, auf die abgetretenen Ansprüche nach § 398 BGB. Beide Begründungen verfolgen dieselbe einmalige Zahlung, keine kumulierten Beträge. Eine Leistung würde deshalb in beiden Zuordnungen berücksichtigt; die Eigentümerin erhebt diese Rechnungsposition nicht daneben.</w:t>
      </w:r>
    </w:p>
    <w:p>
      <w:pPr>
        <w:pStyle w:val="Heading1"/>
      </w:pPr>
      <w:r>
        <w:t>5. Haftung und Einwendungen</w:t>
      </w:r>
    </w:p>
    <w:p>
      <w:r>
        <w:t>§ 2 Abs. 1 HPflG erfasst Schäden durch die Wirkungen von Flüssigkeiten, die von einer Rohrleitungsanlage ausgehen. Hier trat Wasser aus der Straßenverteilungsleitung aus und beschädigte Sachen im Keller. Die Beklagte ist Inhaberin der Anlage. Für diesen gesetzlichen Haftungsgrund ist eine zuvor konkret erkannte Leckgefahr nicht Voraussetzung. Der Kläger muss dennoch Anlage, Inhaber, Austritt, Sachbeschädigung und Zusammenhang mit der verlangten Kostenposition darlegen und beweisen.</w:t>
      </w:r>
    </w:p>
    <w:p>
      <w:r>
        <w:t>Die Beklagte verweist in K10 auf den Gebäudeausschluss. Nach § 2 Abs. 3 Nr. 1 HPflG genügt jedoch nicht, dass der Schaden innerhalb eines Gebäudes eintrat. Auch die dort bezeichnete Anlage muss innerhalb des Gebäudes gelegen sein. Der festgestellte Riss liegt außerhalb; gerade diese Abgrenzung ist durch K2 belegt. Die bloße Weiterleitung des ausgetretenen Wassers durch eine Wandöffnung macht die äußere Straßenanlage nicht zur inneren Hausinstallation. Sollte sich bei weiterer Untersuchung eine andere ursächliche Schadstelle ergeben, wäre die Zuordnung neu zu bewerten. Ein solcher Befund liegt derzeit nicht vor.</w:t>
      </w:r>
    </w:p>
    <w:p>
      <w:r>
        <w:t>Höhere Gewalt ist nicht mit einer unbekannten Materialursache gleichzusetzen. Es ist kein von außen kommendes außergewöhnliches Ereignis vorgetragen. Eine Entlastung wegen sorgfältiger Wartung beseitigt die gesetzliche Gefährdungshaftung ebenfalls nicht. Umgekehrt wird eine Verschuldenshaftung nach § 823 BGB nicht allein daraus hergeleitet, dass überhaupt ein Rohr riss. Eine solche zusätzliche Begründung würde gesonderte Feststellungen zu Organisations-, Kontroll- oder Reparaturpflichten erfordern.</w:t>
      </w:r>
    </w:p>
    <w:p>
      <w:r>
        <w:t>Zur Wanddurchführung liegt bisher nur vor, dass sie älter ist. Frau Waffel kennt keinen Wassereintritt in den vergangenen zwei Jahren; eine fachlich festgestellte Vorschädigung fehlt. Selbst eine objektive Undichtigkeit beantwortete noch nicht, wer hiervon wusste, welche Sicherungspflicht bestand und welche Maßnahme den Schaden verhindert hätte. Für ein dem Kläger zuzurechnendes Mitverschulden nach § 254 BGB fehlen damit bislang konkrete Tatsachen. Auch die Aufstellung von Vorführmühlen auf niedrigen Rollbrettern in einem zuvor nutzbaren Lagerkeller begründet ohne bekannte Überflutungsgefahr keine bestimmte Kürzungsquote. Der Kläger verschweigt die offenen baulichen Fragen nicht und ermöglicht die Untersuchung.</w:t>
      </w:r>
    </w:p>
    <w:p>
      <w:pPr>
        <w:pStyle w:val="Heading1"/>
      </w:pPr>
      <w:r>
        <w:t>6. Höhe, Zinsen und Verfahrensstand</w:t>
      </w:r>
    </w:p>
    <w:p>
      <w:r>
        <w:t>Die Forderung setzt sich aus 600 EUR Abpumpen und Erstaufnahme, 1.200 EUR Gerätebereitstellung und Betrieb sowie 600 EUR Reinigung und Feuchtemessungen zusammen. Sämtliche Ansätze sind netto. Ein zusätzlicher Ersatz der gezahlten Umsatzsteuer würde wegen des Vorsteuerabzugs über den verbleibenden Schaden hinausgehen. Ersatz für neue Mühlen lässt sich aus einer telefonischen Preisangabe für Neugeräte nicht ableiten und wird hier nicht beansprucht. Ebenso ist das noch nicht beauftragte Elektroangebot kein Bestandteil der Zahlungsklage.</w:t>
      </w:r>
    </w:p>
    <w:p>
      <w:r>
        <w:t>Mit K9 wurde Zahlung bis zum 16. Oktober verlangt. Diese Frist läuft bei Erstellung des Entwurfs noch. Ein früherer Verzug oder eine erfolgte Klagezustellung werden nicht behauptet. Die beantragten Prozesszinsen richten sich nach §§ 291, 288 Abs. 1 Satz 2 BGB und beginnen erst am Tag nach einer tatsächlichen Zustellung. Es werden fünf Prozentpunkte verlangt; der Schadenersatz ist keine Entgeltforderung aus einem Geschäft zwischen Unternehmern.</w:t>
      </w:r>
    </w:p>
    <w:p>
      <w:r>
        <w:t>Die Unterlagen zu Versicherung, Schadenausgleich und Rückdeckung bleiben außerhalb dieses Klagegegenstands. Aus einem leeren Aktenordner entsteht weder eine Anspruchsgegnerin noch eine Deckungszusage. Die Beklagte bleibt aus dem eigenen Anlagenbetrieb in Anspruch genommen. Vor einer Einreichung sind die Anlagen vollständig beizufügen, Zustellanschriften nochmals zu bestätigen und die Entscheidung des Klägers über das weitere Vorgehen einzuholen. Dieser Entwurf dokumentiert keine bereits erhobene Klage.</w:t>
      </w:r>
    </w:p>
    <w:p>
      <w:r>
        <w:t>Alina Ahrens</w:t>
        <w:br/>
        <w:t>Rechtsanwältin – Entwurf ohne Einreichung</w:t>
      </w:r>
    </w:p>
    <w:p>
      <w:pPr>
        <w:pStyle w:val="Heading1"/>
      </w:pPr>
      <w:r>
        <w:t>7. Anlagenverzeichnis</w:t>
      </w:r>
    </w:p>
    <w:p>
      <w:r>
        <w:t>K1: Wassereintritt, eigener Betrieb und betroffene Sachen</w:t>
        <w:br/>
        <w:t>Datei: 02_Schadenmeldung.docx</w:t>
      </w:r>
    </w:p>
    <w:p>
      <w:r>
        <w:t>K2: Außerhalb des Hauses gerissene Straßenleitung und tatsächlicher Betreiber</w:t>
        <w:br/>
        <w:t>Datei: 03_Einsatzbericht.docx</w:t>
      </w:r>
    </w:p>
    <w:p>
      <w:r>
        <w:t>K3: Zeitlicher Zusammenhang von Absperrung und nachlassendem Eintritt</w:t>
        <w:br/>
        <w:t>Datei: 11_Stoerungslog.txt</w:t>
      </w:r>
    </w:p>
    <w:p>
      <w:r>
        <w:t>K4: Leistungen, Nettobetrag und bezahlte Rechnung</w:t>
        <w:br/>
        <w:t>Datei: 04_Trocknung_Rechnung.docx</w:t>
      </w:r>
    </w:p>
    <w:p>
      <w:r>
        <w:t>K5: Zweck und Abgrenzung der Trocknungsleistungen</w:t>
        <w:br/>
        <w:t>Datei: schriftverkehr-und-klage/01_Trocknungsumfang.eml</w:t>
      </w:r>
    </w:p>
    <w:p>
      <w:r>
        <w:t>K6: Eigentümerin, Vermietung und unbekannter Zustand der Durchführung</w:t>
        <w:br/>
        <w:t>Datei: 08_Vermieterin.eml</w:t>
      </w:r>
    </w:p>
    <w:p>
      <w:r>
        <w:t>K7: Angebot der eng bezeichneten Anspruchsabtretung</w:t>
        <w:br/>
        <w:t>Datei: schriftverkehr-und-klage/02_Begrenzte_Abtretung.eml</w:t>
      </w:r>
    </w:p>
    <w:p>
      <w:r>
        <w:t>K8: Annahme der Abtretung und Ausgabenbestätigung</w:t>
        <w:br/>
        <w:t>Datei: schriftverkehr-und-klage/03_Annahme_und_Mandat.eml</w:t>
      </w:r>
    </w:p>
    <w:p>
      <w:r>
        <w:t>K9: Außergerichtliche Begrenzung und Zahlungsaufforderung</w:t>
        <w:br/>
        <w:t>Datei: schriftverkehr-und-klage/04_Teilforderung_Zimt.pdf</w:t>
      </w:r>
    </w:p>
    <w:p>
      <w:r>
        <w:t>K10: Betreiberbestätigung und konkrete Einwendungen</w:t>
        <w:br/>
        <w:t>Datei: schriftverkehr-und-klage/05_Antwort_Versorgung.pdf</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 einer offenen Teilklage – Trocknungskosten</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