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Kümmel gegen Stadt Hainbogen</w:t>
      </w:r>
    </w:p>
    <w:p>
      <w:r>
        <w:t>ENTWURF VOM 5. OKTOBER 2026 – NICHT EINGEREICHT</w:t>
      </w:r>
    </w:p>
    <w:p>
      <w:r>
        <w:t>An das Landgericht Würzburg</w:t>
        <w:br/>
        <w:t>Ottostraße 5, 97070 Würzburg</w:t>
      </w:r>
    </w:p>
    <w:p>
      <w:r>
        <w:t>Klage der Frau Ottilie Kümmel, Lerchenbogen 8, 97299 Hainbogen,</w:t>
        <w:br/>
        <w:t>– Klägerin –</w:t>
        <w:br/>
        <w:t>Prozessbevollmächtigte: Rechtsanwältin Leona Ehlers, Buchfinkenstraße 9, 97299 Hainbogen,</w:t>
      </w:r>
    </w:p>
    <w:p>
      <w:r>
        <w:t>gegen die Stadt Hainbogen, vertreten durch die Erste Bürgermeisterin Jette Linden, Buchsbaumplatz 1, 97299 Hainbogen,</w:t>
        <w:br/>
        <w:t>– Beklagte –</w:t>
      </w:r>
    </w:p>
    <w:p>
      <w:r>
        <w:t>wegen Schadensersatzes und Schmerzensgeldes aus dem Sturz vom 12. September 2026.</w:t>
        <w:br/>
        <w:t>Vorläufiger Streitwert: 2.842,50 EUR.</w:t>
      </w:r>
    </w:p>
    <w:p>
      <w:pPr>
        <w:pStyle w:val="Heading1"/>
      </w:pPr>
      <w:r>
        <w:t>1. Anträge und Umfang</w:t>
      </w:r>
    </w:p>
    <w:p>
      <w:r>
        <w:t>Für den Fall der späteren Freigabe und Einreichung wird beantragt,</w:t>
      </w:r>
    </w:p>
    <w:p>
      <w:r>
        <w:t>1. die Beklagte zu verurteilen, an die Klägerin ein angemessenes Schmerzensgeld zu zahlen, dessen Höhe in das Ermessen des Gerichts gestellt wird, wobei nach gegenwärtigem Vortrag mindestens 2.500 EUR als angemessen angesehen werden, nebst Zinsen in Höhe von fünf Prozentpunkten über dem jeweiligen Basiszinssatz seit dem Tag nach Zustellung der Klage;</w:t>
        <w:br/>
        <w:t>2. die Beklagte zu verurteilen, an die Klägerin 342,50 EUR nebst Zinsen in Höhe von fünf Prozentpunkten über dem jeweiligen Basiszinssatz seit dem Tag nach Zustellung der Klage zu zahlen;</w:t>
        <w:br/>
        <w:t>3. der Beklagten die Kosten des Rechtsstreits aufzuerlegen.</w:t>
      </w:r>
    </w:p>
    <w:p>
      <w:r>
        <w:t>Es wird um Anordnung des schriftlichen Vorverfahrens gebeten. Ein Versäumnisurteil wird nur für den Fall beantragt, dass die gesetzlichen Voraussetzungen nach wirksamer Zustellung und Ablauf der Verteidigungsanzeigefrist vorliegen. Der Entwurf behauptet weder eine Zustellung noch eine bereits abgelaufene Gerichtsfrist.</w:t>
      </w:r>
    </w:p>
    <w:p>
      <w:r>
        <w:t>Der materielle Antrag betrifft ausschließlich 297,50 EUR bezahlte Haushaltshilfe und 45 EUR Wert der beschädigten gebrauchten Jacke. Die früher erwähnten Taxikosten, weitere Angehörigenhilfe und eine allgemeine Pauschale sind nicht Gegenstand dieser Klage. Das Schmerzensgeld wird nach dem gesamten bei der maßgeblichen Entscheidung erkennbaren Verletzungsverlauf bemessen; eine künstliche Aufteilung nach einzelnen Wochen wird nicht verlangt. Noch unbekannte, objektiv nicht vorhersehbare Spätfolgen sind mit dem vorliegenden Zahlungsbegehren nicht als pauschal abgefunden erklärt.</w:t>
      </w:r>
    </w:p>
    <w:p>
      <w:pPr>
        <w:pStyle w:val="Heading1"/>
      </w:pPr>
      <w:r>
        <w:t>2. Zuständigkeit und Benutzungsverhältnis</w:t>
      </w:r>
    </w:p>
    <w:p>
      <w:r>
        <w:t>Die Klage betrifft die Verletzung einer drittgerichteten Amtspflicht bei der Sicherung einer gemeindlichen öffentlichen Einrichtung. Die Beklagte hat ihre Eigentümer- und Betreiberstellung, die öffentliche Widmung und die öffentlich-rechtliche Zulassung der Besucher ausdrücklich bestätigt. Es handelt sich um eine eigene Veranstaltung des Kulturamts innerhalb des Widmungszwecks. Damit wird die Amtshaftungszuordnung nicht lediglich aus dem öffentlichen Eigentum oder dem fehlenden Eintrittspreis abgeleitet. Beweis: Stadtantwort vom 5. Oktober 2026, Anlage K12.</w:t>
      </w:r>
    </w:p>
    <w:p>
      <w:r>
        <w:t>Für den Anspruch aus § 839 BGB in Verbindung mit Art. 34 GG ist das Landgericht gemäß § 71 Abs. 2 Nr. 2 GVG ohne Rücksicht auf den Streitwert zuständig. Die seit 2026 in § 23 Nr. 1 GVG genannte allgemeine Amtsgerichtsgrenze von 10.000 EUR ändert diese besondere Zuweisung nicht. Die Beklagte hat ihren Sitz im Bezirk des angerufenen Gerichts; dort liegt auch der Ereignisort. Die örtliche Zuständigkeit folgt aus §§ 12, 17 und 32 ZPO. Klägerin ist die unmittelbar verletzte Besucherin. Ansprüche ihrer Tochter oder eines Sozialleistungsträgers werden nicht geltend gemacht.</w:t>
      </w:r>
    </w:p>
    <w:p>
      <w:r>
        <w:t>Sollte das Gericht die bestätigte Benutzungsorganisation abweichend einordnen, wird um Hinweis gebeten. Die vorgetragenen Sicherungs- und Organisationspflichten sind dann auch unter § 823 Abs. 1 BGB sowie den hierfür einschlägigen Zurechnungsnormen zu prüfen. Eine bestimmte sachliche Zuständigkeit wird für diesen alternativen rechtlichen Ansatz nicht allein aus der Bezeichnung „Stadt“ beansprucht.</w:t>
      </w:r>
    </w:p>
    <w:p>
      <w:pPr>
        <w:pStyle w:val="Heading1"/>
      </w:pPr>
      <w:r>
        <w:t>3. Ereignis und erkennbare Gefahr</w:t>
      </w:r>
    </w:p>
    <w:p>
      <w:r>
        <w:t>Am 12. September 2026 veranstaltete das Kulturamt im Bürgerhaus am Buchsbaumplatz 4 einen öffentlichen Bücherabend. Der Eingang war ab 17:30 Uhr geöffnet. Vor der inneren Saaltür lag eine Schmutzfangmatte. Der Bereich zwischen Außentür und Matte war gefliest. Nach Regen am Nachmittag musste mit Feuchtigkeit gerechnet werden; entscheidend ist hier jedoch die anschließend konkret gemeldete nasse Stelle.</w:t>
      </w:r>
    </w:p>
    <w:p>
      <w:r>
        <w:t>Um 18:03 Uhr schrieb der Einlassmitarbeiter Farid Mansour in die dienstliche Gruppe, vor der Matte glänze eine kleine Pfütze, und bat um einen Wischer. Hausmeister Ludger Lauch antwortete um 18:04 Uhr, er sei im Saal am Mikrofon und komme gleich. Um 18:08 Uhr folgte die Meldung des Sturzes. Erst um 18:12 Uhr wurde gewischt und ein Schild aufgestellt. Der Chat enthält diese Zeitstempel, aber keine Lesebestätigungen. Die Klägerin behauptet deshalb nicht, dass auch die Reinigungskraft jede Nachricht zeitgleich gelesen habe. Beweis: Chatexport, Anlage K3; ergänzende Nachricht des Herrn Mansour, Anlage K4; Zeugnis Mansour, zu laden über die Beklagte, Kulturamt, Buchsbaumplatz 4.</w:t>
      </w:r>
    </w:p>
    <w:p>
      <w:r>
        <w:t>Die Klägerin ging normal durch den Eingang. Kurz vor der Matte rutschte ihr ein Fuß weg. Sie stürzte auf die linke Hand. Die Zeugin Lina Okafor stand etwa drei Meter entfernt am Büchertisch. Sie beobachtete das Wegrutschen, sah kein Mobiltelefon in der Hand der Klägerin und nahm vor dem Sturz kein Warnschild wahr. Nach dem Ereignis sah sie klare Flüssigkeit an der Sturzstelle. Ihre frühere Wendung „alles nass“ bezog sie später ausdrücklich auf diese Stelle, nicht auf sämtliche Eingangsflächen. Beweis: Anlage K5; Zeugnis Lina Okafor, zu laden über Lesekreis Hainbogen, Buchsbaumplatz 4, 97299 Hainbogen.</w:t>
      </w:r>
    </w:p>
    <w:p>
      <w:r>
        <w:t>Der hinzugekommene Hausmeister sah selbst einen etwa handtellergroßen nassen Bereich vor der Matte. Er hat den Sturz nicht gesehen und kann Herkunft und Dauer der Nässe nicht bestimmen. Diese Begrenzung seiner Kenntnis steht der zuvor dokumentierten Warnung nicht entgegen. Beweis: Ereignismeldung, Anlage K1; Zeugnis Ludger Lauch, zu laden über die Beklagte.</w:t>
      </w:r>
    </w:p>
    <w:p>
      <w:pPr>
        <w:pStyle w:val="Heading1"/>
      </w:pPr>
      <w:r>
        <w:t>4. Pflichtverletzung und Kausalität</w:t>
      </w:r>
    </w:p>
    <w:p>
      <w:r>
        <w:t>Die Beklagte musste den benutzbaren Zugang im Rahmen des Zumutbaren gegen konkrete, für Besucher nicht zuverlässig erkennbare Rutschgefahren sichern. Verlangt wird keine lückenlose Gefahrlosigkeit und auch keine ständige Trockenheitsgarantie bei jeder Witterung. Beanstandet wird, dass eine tatsächlich gemeldete Pfütze vor dem erwartbar benutzten Zugang mehrere Minuten ohne kurzfristige Absicherung blieb, obwohl ein einfaches Warnen oder Umlenken möglich war.</w:t>
      </w:r>
    </w:p>
    <w:p>
      <w:r>
        <w:t>Nach Herrn Mansours Beobachtung gab es weder Gedränge noch einen konkurrierenden Notfall. Eine Person hätte Besucher auf der trockenen rechten Seite vorbeiführen können. Der Hausmeister hatte die Meldung nach seiner Antwort wahrgenommen. Die Reinigungskraft las sie erst nach dem Sturz; ihr Telefon lag im Nebenraum, eine Vertretung für eingehende Gefahrenmeldungen war nicht vereinbart. Die Klägerin rügt damit sowohl die konkrete Reaktion als auch die unklare Organisation der kurzfristigen Sicherung. Beweis: Anlagen K3, K4 und K10; Zeugnis Celine Kaya, zu laden über den Reinigungsdienst der Beklagten.</w:t>
      </w:r>
    </w:p>
    <w:p>
      <w:r>
        <w:t>Das Kontrollblatt wurde erst am Folgetag erstellt. Frau Kaya beschrieb einen nur ungefähr auf 17:55 Uhr geschätzten Gang mit einem vollen Müllsack; eine gezielte Prüfung der Fliesen fand nicht statt. Die Klägerin erklärt diesen nachträglichen Vermerk nicht allein wegen seines Erstellungsdatums für wertlos. Er beweist aber weder eine genaue Kontrollminute noch eine damals sicher trockene Fläche und beseitigt die spätere konkrete Warnung nicht. Beweis: Anlagen K2 und K10.</w:t>
      </w:r>
    </w:p>
    <w:p>
      <w:r>
        <w:t>Eine rechtzeitige Warnung oder Sperrung hätte verhindert, dass die Klägerin gerade über die nasse Stelle ging. Die zeitliche und örtliche Verbindung ergibt sich aus der Chatmeldung, dem beobachteten Wegrutschen und dem unmittelbar danach festgestellten Wasser. Eine andere Sturzursache ist nicht belegt. Die Klägerin bietet für den Ablauf ihre persönliche Anhörung und, soweit zulässig, Parteivernehmung an; dies wird nicht als Ersatz für die verfügbaren unabhängigen Zeugen behandelt.</w:t>
      </w:r>
    </w:p>
    <w:p>
      <w:r>
        <w:t>Zum allgemeinen Umfang zumutbarer Sicherung vgl. BGH, Urteil vom 9. September 2008 – VI ZR 279/06, Rn. 9–10. Der dortige Sachverhalt ist kein Bürgerhausfall; herangezogen wird nur der allgemeine Maßstab. Der konkrete Organisationsvorwurf folgt hier aus den eigenen Unterlagen der Beklagten.</w:t>
      </w:r>
    </w:p>
    <w:p>
      <w:pPr>
        <w:pStyle w:val="Heading1"/>
      </w:pPr>
      <w:r>
        <w:t>5. Verletzung und immaterieller Schaden</w:t>
      </w:r>
    </w:p>
    <w:p>
      <w:r>
        <w:t>Die Ambulanz stellte am selben Abend eine nicht verschobene distale Radiusfraktur links fest und legte einen Unterarmgips an. Durchblutung, Motorik und Sensibilität waren erhalten. Weitere akute Verletzungen sind nicht dokumentiert. Beweis: Behandlungsbericht, Anlage K6; Zeugnis der behandelnden Ärztin Dr. Indira Klee, Ambulanz Kleeweg, Kleeweg 3, 97299 Hainbogen; erforderlichenfalls medizinisches Sachverständigengutachten.</w:t>
      </w:r>
    </w:p>
    <w:p>
      <w:r>
        <w:t>Die rechtshändige Klägerin konnte sich zwar teilweise selbst versorgen, jedoch keine schweren Einkäufe, gefüllten Töpfe oder Wäschekörbe sicher tragen. In der ersten Woche bestanden besonders nachts Schmerzen. Sie lebt allein; ihre Tochter half im Wesentlichen an Wochenenden. Eine Operation oder bleibende Funktionsbeeinträchtigung wird nicht behauptet. Ein aktueller schriftlicher Verlaufsbericht muss vor einer tatsächlichen Einreichung ergänzt beziehungsweise im Verfahren beigezogen werden. Beweis: Alltagsnotizen, Anlage K8; Zeugnis Senta Kümmel, Lerchenbogen 10.</w:t>
      </w:r>
    </w:p>
    <w:p>
      <w:r>
        <w:t>Die Klägerin hält derzeit ein Schmerzensgeld von insgesamt mindestens 2.500 EUR gemäß § 253 Abs. 2 BGB für angemessen. Maßgeblich sind Bruch, Ruhigstellung, Schmerzen und Alltagsbeschränkungen, nicht ein starres Tagessystem. Vorleistungen auf das Schmerzensgeld gab es nicht. Die Einschätzung ist kein medizinisch abgesicherter Dauerschadenzuschlag und soll die richterliche Gesamtwürdigung nicht vorwegnehmen.</w:t>
      </w:r>
    </w:p>
    <w:p>
      <w:pPr>
        <w:pStyle w:val="Heading1"/>
      </w:pPr>
      <w:r>
        <w:t>6. Materieller Schaden und Einwendungen</w:t>
      </w:r>
    </w:p>
    <w:p>
      <w:r>
        <w:t>Die Klägerin bezahlte 297,50 EUR für zehn Stunden Haushaltshilfe an vier Tagen. Die Rechnung nennt Einkauf, Küche, Wäsche, Bad, Böden und Bettwäsche. Diese Tätigkeiten konnte die Klägerin mit der ruhiggestellten linken Hand nicht im erforderlichen Umfang selbst ausführen. Der Aufwand passt zu einem 64-Quadratmeter-Einpersonenhaushalt und liegt unter dem vorher geschätzten üblichen Wochenaufwand, wobei einzelne leichte Tätigkeiten weiterhin möglich waren. Es wird nicht jeder frühere Haushaltszeitanteil als vollständiger Ausfall angesetzt. Beweis: Rechnung und Zahlungsbestätigung, Anlage K7; Anlage K8; Zeugnis Hedwig Hummel, Gartenbogen 6, 97299 Hainbogen. Die unentgeltliche Wochenendhilfe der Tochter wird nicht nochmals abgerechnet.</w:t>
      </w:r>
    </w:p>
    <w:p>
      <w:r>
        <w:t>Die gebrauchte Jacke war im April 2025 für 89,90 EUR gekauft worden und riss beim Sturz am linken Ärmel ein. Die Klägerin verlangt hierfür nur 45 EUR und stellt das Kleidungsstück zur Besichtigung zur Verfügung. Der Kaufbeleg beweist allein die damalige Anschaffung, nicht den Sturzschaden oder den heutigen Wert; hierfür werden die Wahrnehmung der Tochter und der Augenschein angeboten. Beweis: Anlage K9, Zeugnis Senta Kümmel und Vorlage der Jacke. Eine neue Jacke wurde nicht gekauft; ein Neupreis wird nicht zusätzlich verlangt.</w:t>
      </w:r>
    </w:p>
    <w:p>
      <w:r>
        <w:t>Ein Mitverschulden nach § 254 BGB ist nicht aus bloß allgemein möglicher Feuchtigkeit herzuleiten. Die Klägerin ging normal, trug flache Schuhe und benutzte kein Telefon. Sollte die Beklagte abweichende konkrete Wahrnehmungen vortragen, sind diese aufzuklären. Die Klägerin stützt ihre Darstellung nicht auf eine unzulässige generelle Beweislastumkehr. Eine anderweitige Ersatzleistung ist nicht erfolgt; die hier verlangten Positionen stehen nach ihrem Vortrag ihr selbst zu. Medizinische Behandlungskosten werden nicht geltend gemacht.</w:t>
      </w:r>
    </w:p>
    <w:p>
      <w:pPr>
        <w:pStyle w:val="Heading1"/>
      </w:pPr>
      <w:r>
        <w:t>7. Zinsen und Verfahrensstand</w:t>
      </w:r>
    </w:p>
    <w:p>
      <w:r>
        <w:t>Die Zahlungsfrist des außergerichtlichen Anspruchsschreibens K11 läuft bei Erstellung dieses Entwurfs noch. Vorgerichtliche Verzugszinsen oder bereits entstandene Prozesskosten werden daher nicht erfunden. Beantragt sind ausschließlich Prozesszinsen nach §§ 291, 288 Abs. 1 Satz 2 BGB ab dem Tag nach einer erst künftig möglichen Zustellung. Die Versicherungsprüfung der Beklagten beeinflusst den gesetzlichen Anspruch nicht. Eine Vergleichsbereitschaft ist weder Haftungsanerkenntnis noch Verzicht der Klägerin.</w:t>
      </w:r>
    </w:p>
    <w:p>
      <w:r>
        <w:t>Die genannten Anlagen werden vor Einreichung mit ihren Originalen abgeglichen. Der Entwurf benötigt insbesondere die abschließende Entscheidung der Klägerin über das Vorgehen und den aktuellen Behandlungsstand. Eine entsprechende Beauftragung wird durch das Vorhandensein dieses Dokuments nicht behauptet.</w:t>
      </w:r>
    </w:p>
    <w:p>
      <w:r>
        <w:t>Leona Ehlers</w:t>
        <w:br/>
        <w:t>Rechtsanwältin – Entwurf ohne Einreichung</w:t>
      </w:r>
    </w:p>
    <w:p>
      <w:pPr>
        <w:pStyle w:val="Heading1"/>
      </w:pPr>
      <w:r>
        <w:t>8. Anlagenverzeichnis</w:t>
      </w:r>
    </w:p>
    <w:p>
      <w:r>
        <w:t>K1: Ereignismeldung mit Ort, Zeit und nasser Stelle</w:t>
        <w:br/>
        <w:t>Datei: 02_Ereignismeldung.docx</w:t>
      </w:r>
    </w:p>
    <w:p>
      <w:r>
        <w:t>K2: Nachträglich erstelltes Kontrollblatt</w:t>
        <w:br/>
        <w:t>Datei: 04_Reinigungskontrolle.docx</w:t>
      </w:r>
    </w:p>
    <w:p>
      <w:r>
        <w:t>K3: Warnung um 18:03 Uhr und Reaktion bis 18:12 Uhr</w:t>
        <w:br/>
        <w:t>Datei: 11_Teamchat.txt</w:t>
      </w:r>
    </w:p>
    <w:p>
      <w:r>
        <w:t>K4: Ergänzende Wahrnehmungen des Kassenmitarbeiters</w:t>
        <w:br/>
        <w:t>Datei: schriftverkehr-und-klage/01_Zeuge_Mansour.eml</w:t>
      </w:r>
    </w:p>
    <w:p>
      <w:r>
        <w:t>K5: Beobachtungen der Zeugin Okafor</w:t>
        <w:br/>
        <w:t>Datei: 08_Zeugin_Lina.eml</w:t>
      </w:r>
    </w:p>
    <w:p>
      <w:r>
        <w:t>K6: Distale Radiusfraktur links</w:t>
        <w:br/>
        <w:t>Datei: 03_Behandlungsbericht.docx</w:t>
      </w:r>
    </w:p>
    <w:p>
      <w:r>
        <w:t>K7: Zehn Hilfestunden, Rechnung und Zahlung</w:t>
        <w:br/>
        <w:t>Datei: 05_Haushaltshilfe_Rechnung.docx</w:t>
      </w:r>
    </w:p>
    <w:p>
      <w:r>
        <w:t>K8: Konkrete Einschränkungen und Angehörigenhilfe</w:t>
        <w:br/>
        <w:t>Datei: 12_Alltag_Kuemmel.docx</w:t>
      </w:r>
    </w:p>
    <w:p>
      <w:r>
        <w:t>K9: Anschaffung der Jacke im April 2025</w:t>
        <w:br/>
        <w:t>Datei: 06_Jacke_Kaufbeleg.docx</w:t>
      </w:r>
    </w:p>
    <w:p>
      <w:r>
        <w:t>K10: Grenzen der erinnerten Kontrollzeit</w:t>
        <w:br/>
        <w:t>Datei: 09_Reinigung_Rueckfrage.eml</w:t>
      </w:r>
    </w:p>
    <w:p>
      <w:r>
        <w:t>K11: Präzisierte Forderung und Gegenstand der Sachschäden</w:t>
        <w:br/>
        <w:t>Datei: schriftverkehr-und-klage/04_Anspruchsschreiben_Kuemmel.pdf</w:t>
      </w:r>
    </w:p>
    <w:p>
      <w:r>
        <w:t>K12: Benutzungsverhältnis und offene Haftungsprüfung</w:t>
        <w:br/>
        <w:t>Datei: schriftverkehr-und-klage/05_Antwort_Stadt.pdf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Kümmel gegen Stadt Hainbogen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