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80" w:line="240" w:lineRule="auto"/>
        <w:jc w:val="left"/>
      </w:pPr>
      <w:r>
        <w:rPr>
          <w:rFonts w:ascii="Times New Roman" w:hAnsi="Times New Roman"/>
          <w:color w:val="000000"/>
          <w:sz w:val="22"/>
        </w:rPr>
        <w:t>An Rheinsteg Ausbau und Metalltechnik GmbH</w:t>
      </w:r>
    </w:p>
    <w:p>
      <w:pPr>
        <w:widowControl/>
        <w:spacing w:after="80" w:line="240" w:lineRule="auto"/>
        <w:jc w:val="left"/>
      </w:pPr>
      <w:r>
        <w:rPr>
          <w:rFonts w:ascii="Times New Roman" w:hAnsi="Times New Roman"/>
          <w:color w:val="000000"/>
          <w:sz w:val="22"/>
        </w:rPr>
        <w:t>Montagehof 18, 51149 Köln</w:t>
      </w:r>
    </w:p>
    <w:p>
      <w:pPr>
        <w:widowControl/>
        <w:spacing w:after="80" w:line="240" w:lineRule="auto"/>
        <w:jc w:val="left"/>
      </w:pPr>
      <w:r>
        <w:rPr>
          <w:rFonts w:ascii="Times New Roman" w:hAnsi="Times New Roman"/>
          <w:color w:val="000000"/>
          <w:sz w:val="22"/>
        </w:rPr>
        <w:t>Datum: 05.05.2026</w:t>
      </w:r>
    </w:p>
    <w:p>
      <w:pPr>
        <w:pStyle w:val="Title"/>
        <w:keepNext/>
        <w:widowControl/>
        <w:spacing w:after="160" w:line="240" w:lineRule="auto" w:before="160"/>
        <w:jc w:val="left"/>
      </w:pPr>
      <w:r>
        <w:rPr>
          <w:b/>
          <w:sz w:val="24"/>
        </w:rPr>
        <w:t>Beschluss im Insolvenzeröffnungsverfahren 72 IN 184/26</w:t>
      </w:r>
    </w:p>
    <w:p>
      <w:pPr>
        <w:widowControl/>
        <w:spacing w:after="80" w:line="240" w:lineRule="auto"/>
        <w:jc w:val="left"/>
      </w:pPr>
      <w:r>
        <w:rPr>
          <w:rFonts w:ascii="Times New Roman" w:hAnsi="Times New Roman"/>
          <w:color w:val="000000"/>
          <w:sz w:val="22"/>
        </w:rPr>
        <w:t>In dem Insolvenzeröffnungsverfahren über das Vermögen der Rheinsteg Ausbau und Metalltechnik GmbH, Montagehof 18, 51149 Köln, vertreten durch den Geschäftsführer Jaron Feldek, wird am 05.05.2026 um 11:30 Uhr beschlossen:</w:t>
      </w:r>
    </w:p>
    <w:p>
      <w:pPr>
        <w:pStyle w:val="Heading2"/>
        <w:keepNext/>
        <w:widowControl/>
        <w:spacing w:after="100" w:line="240" w:lineRule="auto" w:before="160"/>
      </w:pPr>
      <w:r>
        <w:rPr>
          <w:rFonts w:ascii="Times New Roman" w:hAnsi="Times New Roman"/>
        </w:rPr>
        <w:t>1 Sicherungsmaßnahmen</w:t>
      </w:r>
    </w:p>
    <w:p>
      <w:pPr>
        <w:widowControl/>
        <w:spacing w:after="80" w:line="240" w:lineRule="auto"/>
        <w:jc w:val="left"/>
      </w:pPr>
      <w:r>
        <w:rPr>
          <w:rFonts w:ascii="Times New Roman" w:hAnsi="Times New Roman"/>
          <w:color w:val="000000"/>
          <w:sz w:val="22"/>
        </w:rPr>
        <w:t>Zur Sicherung der künftigen Insolvenzmasse wird Frau Rechtsanwältin Dr. Malin Tervens, Tervens &amp; Sander Rechtsanwälte PartG mbB, Rheinbogenplatz 6, 50679 Köln, zur vorläufigen Insolvenzverwalterin bestellt. Verfügungen der Schuldnerin über ihr Vermögen sind nur mit Zustimmung der vorläufigen Insolvenzverwalterin wirksam (Paragraf 21 Abs. 2 Satz 1 Nr. 2 Alt. 2 InsO). Ein allgemeines Verfügungsverbot wird nicht angeordnet. Die Verwaltungs- und Verfügungsbefugnis geht nicht auf die vorläufige Insolvenzverwalterin über.</w:t>
      </w:r>
    </w:p>
    <w:p>
      <w:pPr>
        <w:widowControl/>
        <w:spacing w:after="80" w:line="240" w:lineRule="auto"/>
        <w:jc w:val="left"/>
      </w:pPr>
      <w:r>
        <w:rPr>
          <w:rFonts w:ascii="Times New Roman" w:hAnsi="Times New Roman"/>
          <w:color w:val="000000"/>
          <w:sz w:val="22"/>
        </w:rPr>
        <w:t>Maßnahmen der Zwangsvollstreckung einschließlich der Vollziehung eines Arrestes oder einer einstweiligen Verfügung gegen die Schuldnerin werden untersagt, soweit nicht unbewegliche Gegenstände betroffen sind. Bereits begonnene Maßnahmen werden einstweilen eingestellt. Drittschuldner werden aufgefordert, nur in Abstimmung mit der vorläufigen Insolvenzverwalterin zu leisten.</w:t>
      </w:r>
    </w:p>
    <w:p>
      <w:pPr>
        <w:pStyle w:val="Heading2"/>
        <w:keepNext/>
        <w:widowControl/>
        <w:spacing w:after="100" w:line="240" w:lineRule="auto" w:before="160"/>
      </w:pPr>
      <w:r>
        <w:rPr>
          <w:rFonts w:ascii="Times New Roman" w:hAnsi="Times New Roman"/>
        </w:rPr>
        <w:t>2 Aufgaben</w:t>
      </w:r>
    </w:p>
    <w:p>
      <w:pPr>
        <w:widowControl/>
        <w:spacing w:after="80" w:line="240" w:lineRule="auto"/>
        <w:jc w:val="left"/>
      </w:pPr>
      <w:r>
        <w:rPr>
          <w:rFonts w:ascii="Times New Roman" w:hAnsi="Times New Roman"/>
          <w:color w:val="000000"/>
          <w:sz w:val="22"/>
        </w:rPr>
        <w:t>Die vorläufige Insolvenzverwalterin hat die wirtschaftliche Lage zu prüfen, das Vermögen zu sichern und zu untersuchen, ob das Vermögen die Kosten des Verfahrens decken wird. Sie wird zugleich als Sachverständige mit einem schriftlichen Gutachten über Eröffnungsgrund, Kostendeckung und Fortführungsaussichten beauftragt. Die Schuldnerin hat Auskunft zu erteilen und Einsicht in Unterlagen und Geschäftsräume zu gewähren.</w:t>
      </w:r>
    </w:p>
    <w:p>
      <w:pPr>
        <w:widowControl/>
        <w:spacing w:after="80" w:line="240" w:lineRule="auto"/>
        <w:jc w:val="left"/>
      </w:pPr>
      <w:r>
        <w:rPr>
          <w:rFonts w:ascii="Times New Roman" w:hAnsi="Times New Roman"/>
          <w:color w:val="000000"/>
          <w:sz w:val="22"/>
        </w:rPr>
        <w:t>Der Betrieb darf unter dem Zustimmungsvorbehalt fortgeführt werden. Die Organstellung und die Arbeitgeberstellung der Schuldnerin bleiben unberührt. Die vorläufige Insolvenzverwalterin erhält durch diesen Beschluss keine allgemeine Befugnis, Verbindlichkeiten zulasten einer späteren Masse zu begründen. Über einen gesonderten Antrag auf die Begründung konkret bezeichneter Verbindlichkeiten wird gesondert entschieden.</w:t>
      </w:r>
    </w:p>
    <w:p>
      <w:pPr>
        <w:pStyle w:val="Heading2"/>
        <w:keepNext/>
        <w:widowControl/>
        <w:spacing w:after="100" w:line="240" w:lineRule="auto" w:before="160"/>
      </w:pPr>
      <w:r>
        <w:rPr>
          <w:rFonts w:ascii="Times New Roman" w:hAnsi="Times New Roman"/>
        </w:rPr>
        <w:t>3 Gründe</w:t>
      </w:r>
    </w:p>
    <w:p>
      <w:pPr>
        <w:widowControl/>
        <w:spacing w:after="80" w:line="240" w:lineRule="auto"/>
        <w:jc w:val="left"/>
      </w:pPr>
      <w:r>
        <w:rPr>
          <w:rFonts w:ascii="Times New Roman" w:hAnsi="Times New Roman"/>
          <w:color w:val="000000"/>
          <w:sz w:val="22"/>
        </w:rPr>
        <w:t>Der Eigenantrag vom 04.05.2026 ist zulässig. Die vorgelegte Liquiditätsdarstellung lässt einen Eröffnungsgrund überwiegend wahrscheinlich erscheinen. Die laufenden Bauvorhaben, die Personalkapazität und fremde Rechte am Anlagevermögen erfordern eine unverzügliche Sicherung. Mildere Maßnahmen reichen nicht aus. Ein vollständiger Übergang der Verfügungsmacht ist gegenwärtig nicht erforderlich.</w:t>
      </w:r>
    </w:p>
    <w:p>
      <w:pPr>
        <w:pStyle w:val="Heading2"/>
        <w:keepNext/>
        <w:widowControl/>
        <w:spacing w:after="100" w:line="240" w:lineRule="auto" w:before="160"/>
      </w:pPr>
      <w:r>
        <w:rPr>
          <w:rFonts w:ascii="Times New Roman" w:hAnsi="Times New Roman"/>
        </w:rPr>
        <w:t>4 Rechtsbehelfsbelehrung</w:t>
      </w:r>
    </w:p>
    <w:p>
      <w:pPr>
        <w:widowControl/>
        <w:spacing w:after="80" w:line="240" w:lineRule="auto"/>
        <w:jc w:val="left"/>
      </w:pPr>
      <w:r>
        <w:rPr>
          <w:rFonts w:ascii="Times New Roman" w:hAnsi="Times New Roman"/>
          <w:color w:val="000000"/>
          <w:sz w:val="22"/>
        </w:rPr>
        <w:t>Gegen diesen Beschluss steht der Schuldnerin die sofortige Beschwerde zu. Sie ist innerhalb von zwei Wochen beim Amtsgericht Köln schriftlich oder zu Protokoll der Geschäftsstelle einzulegen. Die Frist beginnt mit der Verkündung oder, wenn eine solche nicht erfolgt, mit der Zustellung. Für elektronisch einzureichende Rechtsbehelfe gelten die gesetzlichen Anforderungen; eine einfache E-Mail an das Gericht genügt nicht.</w:t>
      </w:r>
    </w:p>
    <w:p>
      <w:pPr>
        <w:widowControl/>
        <w:spacing w:after="80" w:line="240" w:lineRule="auto"/>
        <w:jc w:val="left"/>
      </w:pPr>
      <w:r>
        <w:rPr>
          <w:rFonts w:ascii="Times New Roman" w:hAnsi="Times New Roman"/>
          <w:color w:val="000000"/>
          <w:sz w:val="22"/>
        </w:rPr>
        <w:t>Ausgefertigt am 05.05.2026. Gez. Dr. Nele Werding.</w:t>
      </w:r>
    </w:p>
    <w:p>
      <w:pPr>
        <w:widowControl/>
        <w:spacing w:after="80" w:line="240" w:lineRule="auto"/>
        <w:jc w:val="left"/>
      </w:pPr>
      <w:r>
        <w:rPr>
          <w:rFonts w:ascii="Times New Roman" w:hAnsi="Times New Roman"/>
          <w:color w:val="000000"/>
          <w:sz w:val="22"/>
        </w:rPr>
        <w:t>Dr. Nele Werding, Richterin am Amtsgericht</w:t>
      </w:r>
    </w:p>
    <w:sectPr w:rsidR="00FC693F" w:rsidRPr="0006063C" w:rsidSect="00034616">
      <w:headerReference w:type="default" r:id="rId9"/>
      <w:footerReference w:type="default" r:id="rId10"/>
      <w:pgSz w:w="11906" w:h="16838"/>
      <w:pgMar w:top="1531" w:right="1417" w:bottom="1020"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Köln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Amtsgericht Köln</w:t>
    </w:r>
  </w:p>
  <w:p>
    <w:pPr>
      <w:spacing w:after="60"/>
      <w:jc w:val="left"/>
      <w:pBdr>
        <w:bottom w:val="single" w:sz="6" w:space="2" w:color="3B3F45"/>
      </w:pBdr>
    </w:pPr>
    <w:r>
      <w:rPr>
        <w:rFonts w:ascii="Times New Roman" w:hAnsi="Times New Roman"/>
        <w:b w:val="0"/>
        <w:color w:val="000000"/>
        <w:sz w:val="16"/>
      </w:rPr>
      <w:t>Luxemburger Straße 101, 50939 Köln | insolvenz@ag-koeln.example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Beschluss im Insolvenzeröffnungsverfahren 72 IN 184/26</dc:title>
  <dc:subject>Rheinsteg Ausbau und Metalltechnik GmbH</dc:subject>
  <dc:creator>Amtsgericht Köln</dc:creator>
  <cp:keywords/>
  <dc:description>generated by python-docx</dc:description>
  <cp:lastModifiedBy/>
  <cp:revision>1</cp:revision>
  <dcterms:created xsi:type="dcterms:W3CDTF">2013-12-23T23:15:00Z</dcterms:created>
  <dcterms:modified xsi:type="dcterms:W3CDTF">2013-12-23T23:15:00Z</dcterms:modified>
  <cp:category/>
</cp:coreProperties>
</file>