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80" w:line="240" w:lineRule="auto"/>
        <w:jc w:val="left"/>
      </w:pPr>
      <w:r>
        <w:rPr>
          <w:rFonts w:ascii="Times New Roman" w:hAnsi="Times New Roman"/>
          <w:color w:val="000000"/>
          <w:sz w:val="22"/>
        </w:rPr>
        <w:t>An Amtsgericht Köln</w:t>
      </w:r>
    </w:p>
    <w:p>
      <w:pPr>
        <w:widowControl/>
        <w:spacing w:after="80" w:line="240" w:lineRule="auto"/>
        <w:jc w:val="left"/>
      </w:pPr>
      <w:r>
        <w:rPr>
          <w:rFonts w:ascii="Times New Roman" w:hAnsi="Times New Roman"/>
          <w:color w:val="000000"/>
          <w:sz w:val="22"/>
        </w:rPr>
        <w:t>Luxemburger Straße 101, 50939 Köln</w:t>
      </w:r>
    </w:p>
    <w:p>
      <w:pPr>
        <w:widowControl/>
        <w:spacing w:after="80" w:line="240" w:lineRule="auto"/>
        <w:jc w:val="left"/>
      </w:pPr>
      <w:r>
        <w:rPr>
          <w:rFonts w:ascii="Times New Roman" w:hAnsi="Times New Roman"/>
          <w:color w:val="000000"/>
          <w:sz w:val="22"/>
        </w:rPr>
        <w:t>Datum: 18.05.2026</w:t>
      </w:r>
    </w:p>
    <w:p>
      <w:pPr>
        <w:pStyle w:val="Title"/>
        <w:keepNext/>
        <w:widowControl/>
        <w:spacing w:after="160" w:line="240" w:lineRule="auto" w:before="160"/>
        <w:jc w:val="left"/>
      </w:pPr>
      <w:r>
        <w:rPr>
          <w:b/>
          <w:sz w:val="24"/>
        </w:rPr>
        <w:t>Vorläufiger Bericht zum Geschäftsbetrieb, 72 IN 184/26</w:t>
      </w:r>
    </w:p>
    <w:p>
      <w:pPr>
        <w:widowControl/>
        <w:spacing w:after="80" w:line="240" w:lineRule="auto"/>
        <w:jc w:val="left"/>
      </w:pPr>
      <w:r>
        <w:rPr>
          <w:rFonts w:ascii="Times New Roman" w:hAnsi="Times New Roman"/>
          <w:color w:val="000000"/>
          <w:sz w:val="22"/>
        </w:rPr>
        <w:t>Sehr geehrte Frau Dr. Werding,</w:t>
      </w:r>
    </w:p>
    <w:p>
      <w:pPr>
        <w:widowControl/>
        <w:spacing w:after="80" w:line="240" w:lineRule="auto"/>
        <w:jc w:val="left"/>
      </w:pPr>
      <w:r>
        <w:rPr>
          <w:rFonts w:ascii="Times New Roman" w:hAnsi="Times New Roman"/>
          <w:color w:val="000000"/>
          <w:sz w:val="22"/>
        </w:rPr>
        <w:t>seit dem 05.05.2026 begleite ich die Fortführung des Unternehmens unter dem angeordneten Zustimmungsvorbehalt. Ich habe am 06.05.2026 die Geschäftsräume besichtigt und Bankzugänge, Buchhaltungsdaten und die Bestellfreigabe sichern lassen. Die Geschäftsführung zeichnet die betrieblichen Erklärungen weiterhin selbst. Zahlungen bedürfen meiner dokumentierten Zustimmung.</w:t>
      </w:r>
    </w:p>
    <w:p>
      <w:pPr>
        <w:pStyle w:val="Heading2"/>
        <w:keepNext/>
        <w:widowControl/>
        <w:spacing w:after="100" w:line="240" w:lineRule="auto" w:before="160"/>
      </w:pPr>
      <w:r>
        <w:rPr>
          <w:rFonts w:ascii="Times New Roman" w:hAnsi="Times New Roman"/>
        </w:rPr>
        <w:t>1 Betrieb und Aufträge</w:t>
      </w:r>
    </w:p>
    <w:p>
      <w:pPr>
        <w:widowControl/>
        <w:spacing w:after="80" w:line="240" w:lineRule="auto"/>
        <w:jc w:val="left"/>
      </w:pPr>
      <w:r>
        <w:rPr>
          <w:rFonts w:ascii="Times New Roman" w:hAnsi="Times New Roman"/>
          <w:color w:val="000000"/>
          <w:sz w:val="22"/>
        </w:rPr>
        <w:t>Alle 28 Beschäftigten sind weiterhin im Betrieb. Die Baustellen Veltengrund, Kiesbogen und Südsteg tragen rund 72 Prozent zum verbliebenen Auftragsvolumen bei. Zwei Außenstände von zusammen 84.000,00 EUR werden wegen Nacharbeit zurückgehalten. Eine Forderung gegen die Gewerbepark Veltengrund GmbH mit einem Nennbetrag von 20.000,00 EUR ist nach den Unterlagen an die Brückenbogen Objektfinanz GmbH abgetreten. Diese Position ist von freien Einzahlungen getrennt zu führen.</w:t>
      </w:r>
    </w:p>
    <w:p>
      <w:pPr>
        <w:widowControl/>
        <w:spacing w:after="80" w:line="240" w:lineRule="auto"/>
        <w:jc w:val="left"/>
      </w:pPr>
      <w:r>
        <w:rPr>
          <w:rFonts w:ascii="Times New Roman" w:hAnsi="Times New Roman"/>
          <w:color w:val="000000"/>
          <w:sz w:val="22"/>
        </w:rPr>
        <w:t>Die drei Neubestellungen NB-0513 bis NB-0515 sind mit Bezug auf den Beschluss vom 12.05.2026 schriftlich ausgelöst. Die Materiallieferungen sollen bis Anfang Juni eingehen. Die neue Hebebühne wird von der Geschäftsführung aus einem anderen Bestellkreis beschafft; sie ist nicht Gegenstand der Einzelermächtigung. Eine Bindung der späteren Masse wurde dafür nicht zugesagt.</w:t>
      </w:r>
    </w:p>
    <w:p>
      <w:pPr>
        <w:pStyle w:val="Heading2"/>
        <w:keepNext/>
        <w:widowControl/>
        <w:spacing w:after="100" w:line="240" w:lineRule="auto" w:before="160"/>
      </w:pPr>
      <w:r>
        <w:rPr>
          <w:rFonts w:ascii="Times New Roman" w:hAnsi="Times New Roman"/>
        </w:rPr>
        <w:t>2 Personal und Vorfinanzierung</w:t>
      </w:r>
    </w:p>
    <w:p>
      <w:pPr>
        <w:widowControl/>
        <w:spacing w:after="80" w:line="240" w:lineRule="auto"/>
        <w:jc w:val="left"/>
      </w:pPr>
      <w:r>
        <w:rPr>
          <w:rFonts w:ascii="Times New Roman" w:hAnsi="Times New Roman"/>
          <w:color w:val="000000"/>
          <w:sz w:val="22"/>
        </w:rPr>
        <w:t>Die Agentur für Arbeit hat der Übertragung der vorzufinanzierenden Entgeltforderungen am 15.05.2026 zugestimmt. Die Unterzeichnung der individuellen Abtretungen und die abschließende Plausibilisierung des Lohnjournals sind für den 19. und 20.05.2026 vorgesehen. Als voraussichtlicher Insolvenzgeldzeitraum wird bei Eröffnung zum 01.07.2026 der Zeitraum 01.04. bis 30.06.2026 zugrunde gelegt. Bei abweichendem Eröffnungsdatum muss die Abrechnung angepasst werden.</w:t>
      </w:r>
    </w:p>
    <w:p>
      <w:pPr>
        <w:widowControl/>
        <w:spacing w:after="80" w:line="240" w:lineRule="auto"/>
        <w:jc w:val="left"/>
      </w:pPr>
      <w:r>
        <w:rPr>
          <w:rFonts w:ascii="Times New Roman" w:hAnsi="Times New Roman"/>
          <w:color w:val="000000"/>
          <w:sz w:val="22"/>
        </w:rPr>
        <w:t>Vorgesehen sind drei Nettoauszahlungen von jeweils 62.800,00 EUR, insgesamt 188.400,00 EUR, unmittelbar durch die Westbogen Gewerbebank AG an die Arbeitnehmer. Die Geschäftsführervergütung wird nicht vorfinanziert. Arbeitgeberbeiträge, Sozialversicherungsbeiträge und Steuern sind nicht Bestandteil dieses Nettokaufpreises. Die dazugehörigen Meldungen und Ansprüche werden gesondert bearbeitet.</w:t>
      </w:r>
    </w:p>
    <w:p>
      <w:pPr>
        <w:pStyle w:val="Heading2"/>
        <w:keepNext/>
        <w:widowControl/>
        <w:spacing w:after="100" w:line="240" w:lineRule="auto" w:before="160"/>
      </w:pPr>
      <w:r>
        <w:rPr>
          <w:rFonts w:ascii="Times New Roman" w:hAnsi="Times New Roman"/>
        </w:rPr>
        <w:t>3 Liquidität und Sicherung</w:t>
      </w:r>
    </w:p>
    <w:p>
      <w:pPr>
        <w:widowControl/>
        <w:spacing w:after="80" w:line="240" w:lineRule="auto"/>
        <w:jc w:val="left"/>
      </w:pPr>
      <w:r>
        <w:rPr>
          <w:rFonts w:ascii="Times New Roman" w:hAnsi="Times New Roman"/>
          <w:color w:val="000000"/>
          <w:sz w:val="22"/>
        </w:rPr>
        <w:t>Am 04.05.2026 bestanden 23.580,00 EUR Bankguthaben und 2.300,00 EUR Bargeld. Das Bargeld wurde am 06.05.2026 vollständig eingezahlt. Kundenzahlungen werden ausschließlich auf das offengelegte Fortführungskonto geleitet. Es wurden keine Geschäftskonten geschlossen. Der alte Darlehensgeber hat eine Prüfung der Sicherungsabtretung angekündigt, bislang aber keine abgetretene Zahlung vereinnahmt.</w:t>
      </w:r>
    </w:p>
    <w:p>
      <w:pPr>
        <w:widowControl/>
        <w:spacing w:after="80" w:line="240" w:lineRule="auto"/>
        <w:jc w:val="left"/>
      </w:pPr>
      <w:r>
        <w:rPr>
          <w:rFonts w:ascii="Times New Roman" w:hAnsi="Times New Roman"/>
          <w:color w:val="000000"/>
          <w:sz w:val="22"/>
        </w:rPr>
        <w:t>Alte Lieferantenposten werden nicht allein deshalb bedient, weil der Lieferant bei der Fortführung benötigt wird. Für die drei ermächtigten Bestellungen bestehen getrennte Rechnungsnummern. Die Zahlungsvorschläge unterscheiden Leistungszeitraum, Bestellnummer und Freigabegrund. Eine pauschale Umschreibung sämtlicher Lieferantenforderungen findet nicht statt.</w:t>
      </w:r>
    </w:p>
    <w:p>
      <w:pPr>
        <w:pStyle w:val="Heading2"/>
        <w:keepNext/>
        <w:widowControl/>
        <w:spacing w:after="100" w:line="240" w:lineRule="auto" w:before="160"/>
      </w:pPr>
      <w:r>
        <w:rPr>
          <w:rFonts w:ascii="Times New Roman" w:hAnsi="Times New Roman"/>
        </w:rPr>
        <w:t>4 Weitere Schritte</w:t>
      </w:r>
    </w:p>
    <w:p>
      <w:pPr>
        <w:widowControl/>
        <w:spacing w:after="80" w:line="240" w:lineRule="auto"/>
        <w:jc w:val="left"/>
      </w:pPr>
      <w:r>
        <w:rPr>
          <w:rFonts w:ascii="Times New Roman" w:hAnsi="Times New Roman"/>
          <w:color w:val="000000"/>
          <w:sz w:val="22"/>
        </w:rPr>
        <w:t>Die Belegprüfung der Außenstände und eine Bestandsaufnahme des Maschinenparks laufen. Ein Verkauf des Betriebs ist noch nicht vereinbart. Zwei Interessenten haben Vertraulichkeitserklärungen abgegeben. Die Kosten des Verfahrens erscheinen nach derzeitigem Stand gedeckt. Ein abschließendes Gutachten mit Wertansätzen und einer Liquiditätsplanung folgt bis Ende Juni.</w:t>
      </w:r>
    </w:p>
    <w:p>
      <w:pPr>
        <w:keepNext/>
        <w:widowControl/>
        <w:spacing w:after="80" w:line="240" w:lineRule="auto"/>
        <w:jc w:val="left"/>
      </w:pPr>
      <w:r>
        <w:rPr>
          <w:rFonts w:ascii="Times New Roman" w:hAnsi="Times New Roman"/>
          <w:color w:val="000000"/>
          <w:sz w:val="22"/>
        </w:rPr>
        <w:t>Mit freundlichen Grüßen</w:t>
      </w:r>
    </w:p>
    <w:p>
      <w:pPr>
        <w:widowControl/>
        <w:spacing w:after="80" w:line="240" w:lineRule="auto"/>
        <w:jc w:val="left"/>
      </w:pPr>
      <w:r>
        <w:rPr>
          <w:rFonts w:ascii="Times New Roman" w:hAnsi="Times New Roman"/>
          <w:color w:val="000000"/>
          <w:sz w:val="22"/>
        </w:rPr>
        <w:t>Dr. Malin Tervens, Rechtsanwältin und vorläufige Insolvenzverwalterin</w:t>
      </w:r>
    </w:p>
    <w:sectPr w:rsidR="00FC693F" w:rsidRPr="0006063C" w:rsidSect="00034616">
      <w:headerReference w:type="default" r:id="rId9"/>
      <w:footerReference w:type="default" r:id="rId10"/>
      <w:pgSz w:w="11906" w:h="16838"/>
      <w:pgMar w:top="1531" w:right="1417" w:bottom="1020"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Tervens &amp; Sander Rechtsanwälte PartG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Tervens &amp; Sander Rechtsanwälte PartG mbB</w:t>
    </w:r>
  </w:p>
  <w:p>
    <w:pPr>
      <w:spacing w:after="60"/>
      <w:jc w:val="left"/>
      <w:pBdr>
        <w:bottom w:val="single" w:sz="8" w:space="2" w:color="3B3F45"/>
      </w:pBdr>
    </w:pPr>
    <w:r>
      <w:rPr>
        <w:rFonts w:ascii="Times New Roman" w:hAnsi="Times New Roman"/>
        <w:b w:val="0"/>
        <w:color w:val="000000"/>
        <w:sz w:val="16"/>
      </w:rPr>
      <w:t>Rheinbogenplatz 6, 50679 Köln | verfahren@tervens-sander.example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Vorläufiger Bericht zum Geschäftsbetrieb, 72 IN 184/26</dc:title>
  <dc:subject>Rheinsteg Ausbau und Metalltechnik GmbH</dc:subject>
  <dc:creator>Tervens &amp; Sander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