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60" w:line="254" w:lineRule="auto"/>
        <w:jc w:val="left"/>
      </w:pPr>
      <w:r>
        <w:rPr>
          <w:rFonts w:ascii="Times New Roman" w:hAnsi="Times New Roman"/>
          <w:color w:val="000000"/>
          <w:sz w:val="22"/>
        </w:rPr>
        <w:t>An Westbogen Gewerbebank AG</w:t>
      </w:r>
    </w:p>
    <w:p>
      <w:pPr>
        <w:widowControl/>
        <w:spacing w:after="60" w:line="254" w:lineRule="auto"/>
        <w:jc w:val="left"/>
      </w:pPr>
      <w:r>
        <w:rPr>
          <w:rFonts w:ascii="Times New Roman" w:hAnsi="Times New Roman"/>
          <w:color w:val="000000"/>
          <w:sz w:val="22"/>
        </w:rPr>
        <w:t>Kontorallee 32, 50679 Köln</w:t>
      </w:r>
    </w:p>
    <w:p>
      <w:pPr>
        <w:widowControl/>
        <w:spacing w:after="60" w:line="254" w:lineRule="auto"/>
        <w:jc w:val="left"/>
      </w:pPr>
      <w:r>
        <w:rPr>
          <w:rFonts w:ascii="Times New Roman" w:hAnsi="Times New Roman"/>
          <w:color w:val="000000"/>
          <w:sz w:val="22"/>
        </w:rPr>
        <w:t>Datum: 15.05.2026</w:t>
      </w:r>
    </w:p>
    <w:p>
      <w:pPr>
        <w:pStyle w:val="Title"/>
        <w:keepNext/>
        <w:widowControl/>
        <w:spacing w:after="240" w:line="254" w:lineRule="auto" w:before="160"/>
        <w:jc w:val="left"/>
      </w:pPr>
      <w:r>
        <w:rPr>
          <w:b/>
          <w:sz w:val="24"/>
        </w:rPr>
        <w:t>Zustimmung zur Übertragung von Arbeitsentgeltansprüchen; IG-VF 26/5148</w:t>
      </w:r>
    </w:p>
    <w:p>
      <w:pPr>
        <w:widowControl/>
        <w:spacing w:after="120" w:line="254" w:lineRule="auto"/>
        <w:jc w:val="left"/>
      </w:pPr>
      <w:r>
        <w:rPr>
          <w:rFonts w:ascii="Times New Roman" w:hAnsi="Times New Roman"/>
          <w:color w:val="000000"/>
          <w:sz w:val="22"/>
        </w:rPr>
        <w:t>Sehr geehrte Frau Telken,</w:t>
      </w:r>
    </w:p>
    <w:p>
      <w:pPr>
        <w:widowControl/>
        <w:spacing w:after="120" w:line="254" w:lineRule="auto"/>
        <w:jc w:val="left"/>
      </w:pPr>
      <w:r>
        <w:rPr>
          <w:rFonts w:ascii="Times New Roman" w:hAnsi="Times New Roman"/>
          <w:color w:val="000000"/>
          <w:sz w:val="22"/>
        </w:rPr>
        <w:t>auf den Antrag der Westbogen Gewerbebank AG vom 13.05.2026 stimmen wir nach Paragraf 170 Abs. 4 SGB III der Übertragung der nachfolgend abgegrenzten Arbeitsentgeltansprüche zum Zweck der Vorfinanzierung zu.</w:t>
      </w:r>
    </w:p>
    <w:p>
      <w:pPr>
        <w:pStyle w:val="Heading2"/>
        <w:keepNext/>
        <w:widowControl/>
        <w:spacing w:after="140" w:line="254" w:lineRule="auto" w:before="200"/>
      </w:pPr>
      <w:r>
        <w:rPr>
          <w:rFonts w:ascii="Times New Roman" w:hAnsi="Times New Roman"/>
        </w:rPr>
        <w:t>1 Umfang</w:t>
      </w:r>
    </w:p>
    <w:p>
      <w:pPr>
        <w:widowControl/>
        <w:spacing w:after="120" w:line="254" w:lineRule="auto"/>
        <w:jc w:val="left"/>
      </w:pPr>
      <w:r>
        <w:rPr>
          <w:rFonts w:ascii="Times New Roman" w:hAnsi="Times New Roman"/>
          <w:color w:val="000000"/>
          <w:sz w:val="22"/>
        </w:rPr>
        <w:t>Die Zustimmung betrifft die 28 im vorgelegten Personalverzeichnis geführten Arbeitnehmer der Rheinsteg Ausbau und Metalltechnik GmbH mit den Personalnummern 101 bis 128. Erfasst sind die insolvenzgeldfähigen Nettoarbeitsentgelte für April, Mai und Juni 2026 bis zu einer monatlichen Gesamtsumme von 62.800,00 EUR und bis zu insgesamt 188.400,00 EUR. Die Abtretungen dürfen erst nach Zugang dieser Zustimmung vorgenommen werden. Die Geschäftsführervergütung ist nicht einbezogen.</w:t>
      </w:r>
    </w:p>
    <w:p>
      <w:pPr>
        <w:widowControl/>
        <w:spacing w:after="120" w:line="254" w:lineRule="auto"/>
        <w:jc w:val="left"/>
      </w:pPr>
      <w:r>
        <w:rPr>
          <w:rFonts w:ascii="Times New Roman" w:hAnsi="Times New Roman"/>
          <w:color w:val="000000"/>
          <w:sz w:val="22"/>
        </w:rPr>
        <w:t>Der Zeitraum wird unter der Annahme eines Insolvenzereignisses am 01.07.2026 zugrunde gelegt. Die endgültige Bestimmung des Insolvenzgeldzeitraums, die einzelnen Leistungsansprüche und die Begrenzung nach Paragraf 167 SGB III werden erst im Leistungsbescheid geprüft. Die Zustimmung ist keine vorweggenommene Bewilligung von Insolvenzgeld und enthält keine Kostenübernahme für Finanzierungsentgelte.</w:t>
      </w:r>
    </w:p>
    <w:p>
      <w:pPr>
        <w:pStyle w:val="Heading2"/>
        <w:keepNext/>
        <w:widowControl/>
        <w:spacing w:after="140" w:line="254" w:lineRule="auto" w:before="200"/>
      </w:pPr>
      <w:r>
        <w:rPr>
          <w:rFonts w:ascii="Times New Roman" w:hAnsi="Times New Roman"/>
        </w:rPr>
        <w:t>2 Erhalt von Arbeitsplätzen</w:t>
      </w:r>
    </w:p>
    <w:p>
      <w:pPr>
        <w:widowControl/>
        <w:spacing w:after="120" w:line="254" w:lineRule="auto"/>
        <w:jc w:val="left"/>
      </w:pPr>
      <w:r>
        <w:rPr>
          <w:rFonts w:ascii="Times New Roman" w:hAnsi="Times New Roman"/>
          <w:color w:val="000000"/>
          <w:sz w:val="22"/>
        </w:rPr>
        <w:t>Die vorgelegten Auftragskalkulationen, die begrenzte Fortführung bis Ende Juni und die Erklärung zweier Erwerbsinteressenten rechtfertigen die Annahme, dass ein erheblicher Teil der Arbeitsplätze erhalten werden kann. Nach dem Personalplan sollen bei Fortführung mindestens 24 der 28 Arbeitsplätze bestehen bleiben. Zum Zeitpunkt dieser Entscheidung ist kein Betriebserwerb abgeschlossen.</w:t>
      </w:r>
    </w:p>
    <w:p>
      <w:pPr>
        <w:pStyle w:val="Heading2"/>
        <w:keepNext/>
        <w:widowControl/>
        <w:spacing w:after="140" w:line="254" w:lineRule="auto" w:before="200"/>
      </w:pPr>
      <w:r>
        <w:rPr>
          <w:rFonts w:ascii="Times New Roman" w:hAnsi="Times New Roman"/>
        </w:rPr>
        <w:t>3 Nachweise und Auszahlung</w:t>
      </w:r>
    </w:p>
    <w:p>
      <w:pPr>
        <w:widowControl/>
        <w:spacing w:after="120" w:line="254" w:lineRule="auto"/>
        <w:jc w:val="left"/>
      </w:pPr>
      <w:r>
        <w:rPr>
          <w:rFonts w:ascii="Times New Roman" w:hAnsi="Times New Roman"/>
          <w:color w:val="000000"/>
          <w:sz w:val="22"/>
        </w:rPr>
        <w:t>Bitte reichen Sie nach Eintritt des Insolvenzereignisses die unterzeichneten Abtretungen, die Insolvenzgeldbescheinigungen und die tatsächlich ausgeführten Nettoauszahlungen mit Zuordnung zu Personalnummer und Monat ein. Erwerb und Auszahlung sind von Arbeitgeberzahlungen abzugrenzen. Doppelzahlungen und nachträgliche Lohnkorrekturen sind unverzüglich mitzuteilen. Der neue Gläubiger hat seinen Anspruch fristgerecht geltend zu machen.</w:t>
      </w:r>
    </w:p>
    <w:p>
      <w:pPr>
        <w:pStyle w:val="Heading2"/>
        <w:keepNext/>
        <w:widowControl/>
        <w:spacing w:after="140" w:line="254" w:lineRule="auto" w:before="200"/>
      </w:pPr>
      <w:r>
        <w:rPr>
          <w:rFonts w:ascii="Times New Roman" w:hAnsi="Times New Roman"/>
        </w:rPr>
        <w:t>4 Rechtsbehelfsbelehrung</w:t>
      </w:r>
    </w:p>
    <w:p>
      <w:pPr>
        <w:widowControl/>
        <w:spacing w:after="120" w:line="254" w:lineRule="auto"/>
        <w:jc w:val="left"/>
      </w:pPr>
      <w:r>
        <w:rPr>
          <w:rFonts w:ascii="Times New Roman" w:hAnsi="Times New Roman"/>
          <w:color w:val="000000"/>
          <w:sz w:val="22"/>
        </w:rPr>
        <w:t>Gegen diesen Bescheid kann innerhalb eines Monats nach seiner Bekanntgabe Widerspruch bei der Agentur für Arbeit Köln erhoben werden. Der Widerspruch kann schriftlich, zur Niederschrift oder elektronisch in der gesetzlich zugelassenen Form eingelegt werden. Eine gewöhnliche E-Mail genügt der elektronischen Form nicht.</w:t>
      </w:r>
    </w:p>
    <w:p>
      <w:pPr>
        <w:keepNext/>
        <w:widowControl/>
        <w:spacing w:after="120" w:line="254" w:lineRule="auto"/>
        <w:jc w:val="left"/>
      </w:pPr>
      <w:r>
        <w:rPr>
          <w:rFonts w:ascii="Times New Roman" w:hAnsi="Times New Roman"/>
          <w:color w:val="000000"/>
          <w:sz w:val="22"/>
        </w:rPr>
        <w:t>Mit freundlichen Grüßen</w:t>
      </w:r>
    </w:p>
    <w:p>
      <w:pPr>
        <w:widowControl/>
        <w:spacing w:after="120" w:line="254" w:lineRule="auto"/>
        <w:jc w:val="left"/>
      </w:pPr>
      <w:r>
        <w:rPr>
          <w:rFonts w:ascii="Times New Roman" w:hAnsi="Times New Roman"/>
          <w:color w:val="000000"/>
          <w:sz w:val="22"/>
        </w:rPr>
        <w:t>Mira Talven, Team Insolvenzgeld</w:t>
      </w:r>
    </w:p>
    <w:sectPr w:rsidR="00FC693F" w:rsidRPr="0006063C" w:rsidSect="00034616">
      <w:headerReference w:type="default" r:id="rId9"/>
      <w:footerReference w:type="default" r:id="rId10"/>
      <w:pgSz w:w="11906" w:h="16838"/>
      <w:pgMar w:top="1701" w:right="1417"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Agentur für Arbeit Köln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Pr>
    <w:r>
      <w:rPr>
        <w:rFonts w:ascii="Times New Roman" w:hAnsi="Times New Roman"/>
        <w:b/>
        <w:color w:val="000000"/>
        <w:sz w:val="22"/>
      </w:rPr>
      <w:t>Agentur für Arbeit Köln</w:t>
    </w:r>
  </w:p>
  <w:p>
    <w:pPr>
      <w:spacing w:after="60"/>
      <w:jc w:val="left"/>
      <w:pBdr>
        <w:bottom w:val="single" w:sz="6" w:space="2" w:color="3B3F45"/>
      </w:pBdr>
    </w:pPr>
    <w:r>
      <w:rPr>
        <w:rFonts w:ascii="Times New Roman" w:hAnsi="Times New Roman"/>
        <w:b w:val="0"/>
        <w:color w:val="000000"/>
        <w:sz w:val="16"/>
      </w:rPr>
      <w:t>Butzweilerhofallee 1, 50829 Köln | insolvenzgeld@arbeitsagentur-koeln.example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Zustimmung zur Übertragung von Arbeitsentgeltansprüchen; IG-VF 26/5148</dc:title>
  <dc:subject>Rheinsteg Ausbau und Metalltechnik GmbH</dc:subject>
  <dc:creator>Agentur für Arbeit Köln</dc:creator>
  <cp:keywords/>
  <dc:description>generated by python-docx</dc:description>
  <cp:lastModifiedBy/>
  <cp:revision>1</cp:revision>
  <dcterms:created xsi:type="dcterms:W3CDTF">2013-12-23T23:15:00Z</dcterms:created>
  <dcterms:modified xsi:type="dcterms:W3CDTF">2013-12-23T23:15:00Z</dcterms:modified>
  <cp:category/>
</cp:coreProperties>
</file>