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Westbogen Gewerbebank AG</w:t>
      </w:r>
    </w:p>
    <w:p>
      <w:pPr>
        <w:widowControl/>
        <w:spacing w:after="60" w:line="254" w:lineRule="auto"/>
        <w:jc w:val="left"/>
      </w:pPr>
      <w:r>
        <w:rPr>
          <w:rFonts w:ascii="Times New Roman" w:hAnsi="Times New Roman"/>
          <w:color w:val="000000"/>
          <w:sz w:val="22"/>
        </w:rPr>
        <w:t>Kontorallee 32, 50679 Köln</w:t>
      </w:r>
    </w:p>
    <w:p>
      <w:pPr>
        <w:widowControl/>
        <w:spacing w:after="60" w:line="254" w:lineRule="auto"/>
        <w:jc w:val="left"/>
      </w:pPr>
      <w:r>
        <w:rPr>
          <w:rFonts w:ascii="Times New Roman" w:hAnsi="Times New Roman"/>
          <w:color w:val="000000"/>
          <w:sz w:val="22"/>
        </w:rPr>
        <w:t>Datum: 30.06.2026</w:t>
      </w:r>
    </w:p>
    <w:p>
      <w:pPr>
        <w:pStyle w:val="Title"/>
        <w:keepNext/>
        <w:widowControl/>
        <w:spacing w:after="240" w:line="254" w:lineRule="auto" w:before="160"/>
        <w:jc w:val="left"/>
      </w:pPr>
      <w:r>
        <w:rPr>
          <w:b/>
          <w:sz w:val="24"/>
        </w:rPr>
        <w:t>Lohnjournal zu IG-2605-RS, April bis Juni 2026</w:t>
      </w:r>
    </w:p>
    <w:p>
      <w:pPr>
        <w:widowControl/>
        <w:spacing w:after="120" w:line="254" w:lineRule="auto"/>
        <w:jc w:val="left"/>
      </w:pPr>
      <w:r>
        <w:rPr>
          <w:rFonts w:ascii="Times New Roman" w:hAnsi="Times New Roman"/>
          <w:color w:val="000000"/>
          <w:sz w:val="22"/>
        </w:rPr>
        <w:t>Sehr geehrte Frau Telken,</w:t>
      </w:r>
    </w:p>
    <w:p>
      <w:pPr>
        <w:widowControl/>
        <w:spacing w:after="120" w:line="254" w:lineRule="auto"/>
        <w:jc w:val="left"/>
      </w:pPr>
      <w:r>
        <w:rPr>
          <w:rFonts w:ascii="Times New Roman" w:hAnsi="Times New Roman"/>
          <w:color w:val="000000"/>
          <w:sz w:val="22"/>
        </w:rPr>
        <w:t>wir bestätigen nach Abschluss der Juniabrechnung die nachstehenden Entgeltwerte. Alle 28 Beschäftigten standen im gesamten Zeitraum 01.04. bis 30.06.2026 in einem ununterbrochenen Arbeitsverhältnis. Es gab keine vorzeitigen Austritte, Entgeltausfälle ohne Vergütungsanspruch oder Kurzarbeit. Variable Zuschläge sind in diesen drei Abrechnungsmonaten nicht angefallen. Die monatlichen Bruttobeträge sind jeweils unterhalb der maßgeblichen Beitragsbemessungsgrenze.</w:t>
      </w:r>
    </w:p>
    <w:tbl>
      <w:tblPr>
        <w:tblStyle w:val="TableGrid"/>
        <w:tblW w:type="auto" w:w="0"/>
        <w:jc w:val="center"/>
        <w:tblLayout w:type="fixed"/>
        <w:tblLook w:firstColumn="1" w:firstRow="1" w:lastColumn="0" w:lastRow="0" w:noHBand="0" w:noVBand="1" w:val="04A0"/>
      </w:tblPr>
      <w:tblGrid>
        <w:gridCol w:w="794"/>
        <w:gridCol w:w="2069"/>
        <w:gridCol w:w="2069"/>
        <w:gridCol w:w="2069"/>
        <w:gridCol w:w="2069"/>
      </w:tblGrid>
      <w:tr>
        <w:trPr>
          <w:cantSplit/>
          <w:tblHeader/>
        </w:trPr>
        <w:tc>
          <w:tcPr>
            <w:tcW w:type="dxa" w:w="794"/>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Nr.</w:t>
            </w:r>
          </w:p>
        </w:tc>
        <w:tc>
          <w:tcPr>
            <w:tcW w:type="dxa" w:w="20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Brutto je Monat</w:t>
            </w:r>
          </w:p>
        </w:tc>
        <w:tc>
          <w:tcPr>
            <w:tcW w:type="dxa" w:w="20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Netto April</w:t>
            </w:r>
          </w:p>
        </w:tc>
        <w:tc>
          <w:tcPr>
            <w:tcW w:type="dxa" w:w="20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Netto Mai</w:t>
            </w:r>
          </w:p>
        </w:tc>
        <w:tc>
          <w:tcPr>
            <w:tcW w:type="dxa" w:w="20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Netto Juni</w:t>
            </w:r>
          </w:p>
        </w:tc>
      </w:tr>
      <w:tr>
        <w:trPr>
          <w:cantSplit/>
        </w:trPr>
        <w:tc>
          <w:tcPr>
            <w:tcW w:type="dxa" w:w="79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101</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2.900,00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79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102</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2.900,00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79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103</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2.900,00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79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104</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2.900,00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79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105</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2.900,00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79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106</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2.900,00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79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107</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2.900,00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79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108</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2.900,00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79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109</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2.900,00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79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110</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2.900,00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 EUR</w:t>
            </w:r>
          </w:p>
        </w:tc>
      </w:tr>
      <w:tr>
        <w:trPr>
          <w:cantSplit/>
        </w:trPr>
        <w:tc>
          <w:tcPr>
            <w:tcW w:type="dxa" w:w="79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111</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3.300,00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79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112</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3.300,00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79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113</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3.300,00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79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114</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3.300,00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79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115</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3.300,00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79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116</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3.300,00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79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117</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3.300,00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79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118</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3.300,00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79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119</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3.300,00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79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120</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3.300,00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2.200,00 EUR</w:t>
            </w:r>
          </w:p>
        </w:tc>
      </w:tr>
      <w:tr>
        <w:trPr>
          <w:cantSplit/>
        </w:trPr>
        <w:tc>
          <w:tcPr>
            <w:tcW w:type="dxa" w:w="79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121</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3.900,00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r>
        <w:trPr>
          <w:cantSplit/>
        </w:trPr>
        <w:tc>
          <w:tcPr>
            <w:tcW w:type="dxa" w:w="79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122</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3.900,00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r>
        <w:trPr>
          <w:cantSplit/>
        </w:trPr>
        <w:tc>
          <w:tcPr>
            <w:tcW w:type="dxa" w:w="79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123</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3.900,00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r>
        <w:trPr>
          <w:cantSplit/>
        </w:trPr>
        <w:tc>
          <w:tcPr>
            <w:tcW w:type="dxa" w:w="79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124</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3.900,00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r>
        <w:trPr>
          <w:cantSplit/>
        </w:trPr>
        <w:tc>
          <w:tcPr>
            <w:tcW w:type="dxa" w:w="79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125</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3.900,00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r>
        <w:trPr>
          <w:cantSplit/>
        </w:trPr>
        <w:tc>
          <w:tcPr>
            <w:tcW w:type="dxa" w:w="79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126</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3.900,00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r>
        <w:trPr>
          <w:cantSplit/>
        </w:trPr>
        <w:tc>
          <w:tcPr>
            <w:tcW w:type="dxa" w:w="79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127</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3.900,00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r>
        <w:trPr>
          <w:cantSplit/>
        </w:trPr>
        <w:tc>
          <w:tcPr>
            <w:tcW w:type="dxa" w:w="79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128</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3.900,00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c>
          <w:tcPr>
            <w:tcW w:type="dxa" w:w="20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2.600,00 EUR</w:t>
            </w:r>
          </w:p>
        </w:tc>
      </w:tr>
      <w:tr>
        <w:trPr>
          <w:cantSplit/>
        </w:trPr>
        <w:tc>
          <w:tcPr>
            <w:tcW w:type="dxa" w:w="79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Summe</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93.200,00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62.800,00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62.800,00 EUR</w:t>
            </w:r>
          </w:p>
        </w:tc>
        <w:tc>
          <w:tcPr>
            <w:tcW w:type="dxa" w:w="20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62.800,00 EUR</w:t>
            </w:r>
          </w:p>
        </w:tc>
      </w:tr>
    </w:tbl>
    <w:p>
      <w:pPr>
        <w:widowControl/>
        <w:spacing w:after="120" w:line="254" w:lineRule="auto"/>
        <w:jc w:val="left"/>
      </w:pPr>
      <w:r>
        <w:rPr>
          <w:rFonts w:ascii="Times New Roman" w:hAnsi="Times New Roman"/>
          <w:color w:val="000000"/>
          <w:sz w:val="22"/>
        </w:rPr>
        <w:t>Die drei Bruttomonate ergeben 279.600,00 EUR. Die ausgewiesenen Nettoentgelte ergeben 188.400,00 EUR. Die Differenz von 91.200,00 EUR betrifft die in der Lohnabrechnung ausgewiesenen Steuern und Arbeitnehmeranteile; sie ist nicht Bestandteil der angekauften Nettoforderungen. Arbeitgeberanteile sind darin nicht enthalten. Die Einzelabrechnungen werden in der Personalakte geführt.</w:t>
      </w:r>
    </w:p>
    <w:p>
      <w:pPr>
        <w:widowControl/>
        <w:spacing w:after="120" w:line="254" w:lineRule="auto"/>
        <w:jc w:val="left"/>
      </w:pPr>
      <w:r>
        <w:rPr>
          <w:rFonts w:ascii="Times New Roman" w:hAnsi="Times New Roman"/>
          <w:color w:val="000000"/>
          <w:sz w:val="22"/>
        </w:rPr>
        <w:t>Die Arbeitgeberin hat keinen der drei Nettoläufe aus eigenen Mitteln ausgeführt. April wurde am 22.05. und Mai am 29.05. durch die Bank bezahlt. Die Juni-Zahlungsdatei enthält erneut exakt 28 freigegebene Empfänger. Sie weist dieselben Einzelnettos und keine Nachzahlung für April oder Mai aus. Die Bankbestätigung über die Ausführung ist dem Vorfinanzierungskonto zugeordnet.</w:t>
      </w:r>
    </w:p>
    <w:p>
      <w:pPr>
        <w:widowControl/>
        <w:spacing w:after="120" w:line="254" w:lineRule="auto"/>
        <w:jc w:val="left"/>
      </w:pPr>
      <w:r>
        <w:rPr>
          <w:rFonts w:ascii="Times New Roman" w:hAnsi="Times New Roman"/>
          <w:color w:val="000000"/>
          <w:sz w:val="22"/>
        </w:rPr>
        <w:t>Jaron Feldeks Organvergütung ist in diesem Journal nicht enthalten. Das Finanzierungsentgelt von 1.884,00 EUR wird gesondert vom Betriebskonto getragen.</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Ute Karsow, Personalverwaltung; gegengezeichnet Jaron Feldek</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Rheinsteg Ausbau und Metalltechnik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Rheinsteg Ausbau und Metalltechnik GmbH</w:t>
    </w:r>
  </w:p>
  <w:p>
    <w:pPr>
      <w:spacing w:after="60"/>
      <w:jc w:val="left"/>
      <w:pBdr>
        <w:bottom w:val="single" w:sz="6" w:space="2" w:color="1F3864"/>
      </w:pBdr>
    </w:pPr>
    <w:r>
      <w:rPr>
        <w:rFonts w:ascii="Times New Roman" w:hAnsi="Times New Roman"/>
        <w:b w:val="0"/>
        <w:color w:val="000000"/>
        <w:sz w:val="16"/>
      </w:rPr>
      <w:t>Montagehof 18, 51149 Köln | buchhaltung@rheinsteg.example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Lohnjournal zu IG-2605-RS, April bis Juni 2026</dc:title>
  <dc:subject>Rheinsteg Ausbau und Metalltechnik GmbH</dc:subject>
  <dc:creator>Rheinsteg Ausbau und Metalltechnik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