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17.08.2026</w:t>
      </w:r>
    </w:p>
    <w:p>
      <w:pPr>
        <w:pStyle w:val="Title"/>
        <w:keepNext/>
        <w:widowControl/>
        <w:spacing w:after="240" w:line="254" w:lineRule="auto" w:before="160"/>
        <w:jc w:val="left"/>
      </w:pPr>
      <w:r>
        <w:rPr>
          <w:b/>
          <w:sz w:val="24"/>
        </w:rPr>
        <w:t>Schlussabrechnung Vorfinanzierungs-Unterkonto IG-2605-RS</w:t>
      </w:r>
    </w:p>
    <w:p>
      <w:pPr>
        <w:widowControl/>
        <w:spacing w:after="120" w:line="254" w:lineRule="auto"/>
        <w:jc w:val="left"/>
      </w:pPr>
      <w:r>
        <w:rPr>
          <w:rFonts w:ascii="Times New Roman" w:hAnsi="Times New Roman"/>
          <w:color w:val="000000"/>
          <w:sz w:val="22"/>
        </w:rPr>
        <w:t>Sehr geehrte Frau Dr. Tervens,</w:t>
      </w:r>
    </w:p>
    <w:p>
      <w:pPr>
        <w:widowControl/>
        <w:spacing w:after="120" w:line="254" w:lineRule="auto"/>
        <w:jc w:val="left"/>
      </w:pPr>
      <w:r>
        <w:rPr>
          <w:rFonts w:ascii="Times New Roman" w:hAnsi="Times New Roman"/>
          <w:color w:val="000000"/>
          <w:sz w:val="22"/>
        </w:rPr>
        <w:t>wir bestätigen die vollständige Auszahlung und Rückführung des Vorfinanzierungskontos für die Arbeitnehmer der Rheinsteg Ausbau und Metalltechnik GmbH. Die drei Zahlungsläufe wurden an die in den Einzelabtretungen bezeichneten Arbeitnehmer ausgeführt. Kein Auftrag wurde zurückgegeben oder storniert.</w:t>
      </w:r>
    </w:p>
    <w:tbl>
      <w:tblPr>
        <w:tblStyle w:val="TableGrid"/>
        <w:tblW w:type="auto" w:w="0"/>
        <w:jc w:val="center"/>
        <w:tblLayout w:type="fixed"/>
        <w:tblLook w:firstColumn="1" w:firstRow="1" w:lastColumn="0" w:lastRow="0" w:noHBand="0" w:noVBand="1" w:val="04A0"/>
      </w:tblPr>
      <w:tblGrid>
        <w:gridCol w:w="1361"/>
        <w:gridCol w:w="3969"/>
        <w:gridCol w:w="1871"/>
        <w:gridCol w:w="1871"/>
      </w:tblGrid>
      <w:tr>
        <w:trPr>
          <w:cantSplit/>
          <w:tblHeader/>
        </w:trPr>
        <w:tc>
          <w:tcPr>
            <w:tcW w:type="dxa" w:w="136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Valuta</w:t>
            </w:r>
          </w:p>
        </w:tc>
        <w:tc>
          <w:tcPr>
            <w:tcW w:type="dxa" w:w="39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Vorgang</w:t>
            </w:r>
          </w:p>
        </w:tc>
        <w:tc>
          <w:tcPr>
            <w:tcW w:type="dxa" w:w="187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Belastung</w:t>
            </w:r>
          </w:p>
        </w:tc>
        <w:tc>
          <w:tcPr>
            <w:tcW w:type="dxa" w:w="1871"/>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Gutschrift</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22.05.2026</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April 2026, 28 Einzelüberweisungen</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62.800,00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29.05.2026</w:t>
            </w:r>
          </w:p>
        </w:tc>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Mai 2026, 28 Einzelüberweisungen</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62.800,00 EUR</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30.06.2026</w:t>
            </w:r>
          </w:p>
        </w:tc>
        <w:tc>
          <w:tcPr>
            <w:tcW w:type="dxa" w:w="39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Juni 2026, 28 Einzelüberweisungen</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62.800,00 EUR</w:t>
            </w:r>
          </w:p>
        </w:tc>
        <w:tc>
          <w:tcPr>
            <w:tcW w:type="dxa" w:w="1871"/>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136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14.08.2026</w:t>
            </w:r>
          </w:p>
        </w:tc>
        <w:tc>
          <w:tcPr>
            <w:tcW w:type="dxa" w:w="39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Agentur für Arbeit Köln, IG 26/5148</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c>
          <w:tcPr>
            <w:tcW w:type="dxa" w:w="1871"/>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188.400,00 EUR</w:t>
            </w:r>
          </w:p>
        </w:tc>
      </w:tr>
    </w:tbl>
    <w:p>
      <w:pPr>
        <w:widowControl/>
        <w:spacing w:after="120" w:line="254" w:lineRule="auto"/>
        <w:jc w:val="left"/>
      </w:pPr>
      <w:r>
        <w:rPr>
          <w:rFonts w:ascii="Times New Roman" w:hAnsi="Times New Roman"/>
          <w:color w:val="000000"/>
          <w:sz w:val="22"/>
        </w:rPr>
        <w:t>Der Vorfinanzierungsbetrag beträgt 188.400,00 EUR; der Saldo des Unterkontos ist seit 14.08.2026 null. Jeder Auszahlungslauf umfasst zehn Beträge zu 2.000,00 EUR, zehn Beträge zu 2.200,00 EUR und acht Beträge zu 2.600,00 EUR. Insgesamt wurden 84 Einzelüberweisungen ausgeführt. Empfängerzuordnung und Zahlungsfreigaben entsprechen den Personalnummern 101 bis 128.</w:t>
      </w:r>
    </w:p>
    <w:p>
      <w:pPr>
        <w:widowControl/>
        <w:spacing w:after="120" w:line="254" w:lineRule="auto"/>
        <w:jc w:val="left"/>
      </w:pPr>
      <w:r>
        <w:rPr>
          <w:rFonts w:ascii="Times New Roman" w:hAnsi="Times New Roman"/>
          <w:color w:val="000000"/>
          <w:sz w:val="22"/>
        </w:rPr>
        <w:t>Der Auszahlungsauftrag der Agentur für Arbeit wurde auf der Grundlage ihres Bescheids vom 12.08.2026 verbucht. Eine weitere Auszahlung an Arbeitnehmer wurde dadurch nicht ausgelöst. Die Zahlung der Agentur wurde auch nicht dem Betriebskonto oder dem allgemeinen Massekonto gutgeschrieben.</w:t>
      </w:r>
    </w:p>
    <w:p>
      <w:pPr>
        <w:widowControl/>
        <w:spacing w:after="120" w:line="254" w:lineRule="auto"/>
        <w:jc w:val="left"/>
      </w:pPr>
      <w:r>
        <w:rPr>
          <w:rFonts w:ascii="Times New Roman" w:hAnsi="Times New Roman"/>
          <w:color w:val="000000"/>
          <w:sz w:val="22"/>
        </w:rPr>
        <w:t>Das Finanzierungsentgelt von 1.884,00 EUR wurde am 30.06.2026 gesondert vom Betriebskonto 1237400 eingezogen und ist vollständig bezahlt. Es wird nicht nochmals aus dem Insolvenzgeldeingang entnommen. Weitere Zinsen oder Kosten aus dieser Vorfinanzierung stehen nicht offen. Aus diesem Vertrag meldet unsere Bank daher keine noch offene Kaufpreis- oder Finanzierungsforderung an.</w:t>
      </w:r>
    </w:p>
    <w:p>
      <w:pPr>
        <w:widowControl/>
        <w:spacing w:after="120" w:line="254" w:lineRule="auto"/>
        <w:jc w:val="left"/>
      </w:pPr>
      <w:r>
        <w:rPr>
          <w:rFonts w:ascii="Times New Roman" w:hAnsi="Times New Roman"/>
          <w:color w:val="000000"/>
          <w:sz w:val="22"/>
        </w:rPr>
        <w:t>Dieser Beleg enthält ausschließlich das Vorfinanzierungs-Unterkonto. Er trifft keine Aussage über Ansprüche der Brückenbogen Objektfinanz GmbH.</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Maren Telken, Firmenkundenbetreuung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Westbogen Gewerbebank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Westbogen Gewerbebank AG</w:t>
    </w:r>
  </w:p>
  <w:p>
    <w:pPr>
      <w:spacing w:after="60"/>
      <w:jc w:val="left"/>
      <w:pBdr>
        <w:bottom w:val="single" w:sz="6" w:space="2" w:color="1F3864"/>
      </w:pBdr>
    </w:pPr>
    <w:r>
      <w:rPr>
        <w:rFonts w:ascii="Times New Roman" w:hAnsi="Times New Roman"/>
        <w:b w:val="0"/>
        <w:color w:val="000000"/>
        <w:sz w:val="16"/>
      </w:rPr>
      <w:t>Kontorallee 32, 50679 Köln | insolvenzgeld@westbogen-bank.example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Schlussabrechnung Vorfinanzierungs-Unterkonto IG-2605-RS</dc:title>
  <dc:subject>Rheinsteg Ausbau und Metalltechnik GmbH</dc:subject>
  <dc:creator>Westbogen Gewerbebank AG</dc:creator>
  <cp:keywords/>
  <dc:description>generated by python-docx</dc:description>
  <cp:lastModifiedBy/>
  <cp:revision>1</cp:revision>
  <dcterms:created xsi:type="dcterms:W3CDTF">2013-12-23T23:15:00Z</dcterms:created>
  <dcterms:modified xsi:type="dcterms:W3CDTF">2013-12-23T23:15:00Z</dcterms:modified>
  <cp:category/>
</cp:coreProperties>
</file>