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Amtsgericht Köln</w:t>
      </w:r>
    </w:p>
    <w:p>
      <w:pPr>
        <w:widowControl/>
        <w:spacing w:after="60" w:line="254" w:lineRule="auto"/>
        <w:jc w:val="left"/>
      </w:pPr>
      <w:r>
        <w:rPr>
          <w:rFonts w:ascii="Times New Roman" w:hAnsi="Times New Roman"/>
          <w:color w:val="000000"/>
          <w:sz w:val="22"/>
        </w:rPr>
        <w:t>Luxemburger Straße 101, 50939 Köln</w:t>
      </w:r>
    </w:p>
    <w:p>
      <w:pPr>
        <w:widowControl/>
        <w:spacing w:after="60" w:line="254" w:lineRule="auto"/>
        <w:jc w:val="left"/>
      </w:pPr>
      <w:r>
        <w:rPr>
          <w:rFonts w:ascii="Times New Roman" w:hAnsi="Times New Roman"/>
          <w:color w:val="000000"/>
          <w:sz w:val="22"/>
        </w:rPr>
        <w:t>Datum: 29.06.2026</w:t>
      </w:r>
    </w:p>
    <w:p>
      <w:pPr>
        <w:pStyle w:val="Title"/>
        <w:keepNext/>
        <w:widowControl/>
        <w:spacing w:after="240" w:line="254" w:lineRule="auto" w:before="160"/>
        <w:jc w:val="left"/>
      </w:pPr>
      <w:r>
        <w:rPr>
          <w:b/>
          <w:sz w:val="24"/>
        </w:rPr>
        <w:t>Gutachten zur Verfahrenseröffnung und Fortführungsbericht, 72 IN 184/26</w:t>
      </w:r>
    </w:p>
    <w:p>
      <w:pPr>
        <w:widowControl/>
        <w:spacing w:after="120" w:line="254" w:lineRule="auto"/>
        <w:jc w:val="left"/>
      </w:pPr>
      <w:r>
        <w:rPr>
          <w:rFonts w:ascii="Times New Roman" w:hAnsi="Times New Roman"/>
          <w:color w:val="000000"/>
          <w:sz w:val="22"/>
        </w:rPr>
        <w:t>Sehr geehrte Frau Dr. Werding,</w:t>
      </w:r>
    </w:p>
    <w:p>
      <w:pPr>
        <w:widowControl/>
        <w:spacing w:after="120" w:line="254" w:lineRule="auto"/>
        <w:jc w:val="left"/>
      </w:pPr>
      <w:r>
        <w:rPr>
          <w:rFonts w:ascii="Times New Roman" w:hAnsi="Times New Roman"/>
          <w:color w:val="000000"/>
          <w:sz w:val="22"/>
        </w:rPr>
        <w:t>aufgrund des Auftrags vom 05.05.2026 erstatte ich das folgende Gutachten. Ich empfehle die Eröffnung des Verfahrens zum 01.07.2026. Es liegt Zahlungsunfähigkeit vor. Die Kosten des Verfahrens sind nach den vorsichtigen Verwertungsansätzen gedeckt; der Betrieb kann zunächst fortgeführt werden. Grundlage sind die Finanzbuchhaltung bis 26.06.2026, Bankabstimmungen, Inventur und Gespräche mit Geschäftsführung, Kunden und Arbeitnehmern. Die Zahlungen am 30.06.2026 sind im nachstehenden Überleitungsplan als fest terminierte Zahlungen berücksichtigt.</w:t>
      </w:r>
    </w:p>
    <w:p>
      <w:pPr>
        <w:pStyle w:val="Heading2"/>
        <w:keepNext/>
        <w:widowControl/>
        <w:spacing w:after="140" w:line="254" w:lineRule="auto" w:before="200"/>
      </w:pPr>
      <w:r>
        <w:rPr>
          <w:rFonts w:ascii="Times New Roman" w:hAnsi="Times New Roman"/>
        </w:rPr>
        <w:t>1 Schuldnerin und wirtschaftliche Entwicklung</w:t>
      </w:r>
    </w:p>
    <w:p>
      <w:pPr>
        <w:widowControl/>
        <w:spacing w:after="120" w:line="254" w:lineRule="auto"/>
        <w:jc w:val="left"/>
      </w:pPr>
      <w:r>
        <w:rPr>
          <w:rFonts w:ascii="Times New Roman" w:hAnsi="Times New Roman"/>
          <w:color w:val="000000"/>
          <w:sz w:val="22"/>
        </w:rPr>
        <w:t>Die Rheinsteg Ausbau und Metalltechnik GmbH betreibt in gemieteten Räumen Metallbau und Innenausbau mit 28 Arbeitnehmern. Der Nettoumsatz 2025 betrug 4.380.000,00 EUR; das vorläufige Betriebsergebnis lag bei minus 214.000,00 EUR. Die Rohmarge fiel infolge unterkalkulierter Festpreisaufträge und Nacharbeit. Im ersten Quartal 2026 wurde ein weiterer Verlust von 96.000,00 EUR erwirtschaftet. Eine verbindliche Eigenkapitalzuführung liegt nicht vor. Die Holding mit 60 Prozent Beteiligung hat weitere Finanzierung abgelehnt.</w:t>
      </w:r>
    </w:p>
    <w:p>
      <w:pPr>
        <w:pStyle w:val="Heading2"/>
        <w:keepNext/>
        <w:widowControl/>
        <w:spacing w:after="140" w:line="254" w:lineRule="auto" w:before="200"/>
      </w:pPr>
      <w:r>
        <w:rPr>
          <w:rFonts w:ascii="Times New Roman" w:hAnsi="Times New Roman"/>
        </w:rPr>
        <w:t>2 Eröffnungsgrund</w:t>
      </w:r>
    </w:p>
    <w:p>
      <w:pPr>
        <w:widowControl/>
        <w:spacing w:after="120" w:line="254" w:lineRule="auto"/>
        <w:jc w:val="left"/>
      </w:pPr>
      <w:r>
        <w:rPr>
          <w:rFonts w:ascii="Times New Roman" w:hAnsi="Times New Roman"/>
          <w:color w:val="000000"/>
          <w:sz w:val="22"/>
        </w:rPr>
        <w:t>Am 04.05.2026 betrugen die fälligen Verpflichtungen 398.400,00 EUR und die verfügbaren Mittel 25.880,00 EUR einschließlich Kasse. Die Deckungslücke betrug damit 372.520,00 EUR. Der Dreiwochenplan brachte lediglich 46.000,00 EUR verlässlich erwartete Einzahlungen; selbst ohne neue Ausgaben blieb eine erhebliche Lücke. Stundungen in ausreichender Höhe waren weder erklärt noch tatsächlich eingehalten. Die Zahlungseinstellung betrifft verschiedene Gläubigergruppen und bereits die Aprilvergütung. Eine nur kurzfristige Zahlungsstockung liegt nicht vor (Paragraf 17 InsO).</w:t>
      </w:r>
    </w:p>
    <w:p>
      <w:pPr>
        <w:widowControl/>
        <w:spacing w:after="120" w:line="254" w:lineRule="auto"/>
        <w:jc w:val="left"/>
      </w:pPr>
      <w:r>
        <w:rPr>
          <w:rFonts w:ascii="Times New Roman" w:hAnsi="Times New Roman"/>
          <w:color w:val="000000"/>
          <w:sz w:val="22"/>
        </w:rPr>
        <w:t>Der Liquiditätsbestand hat sich durch die beschränkte Fortführung verbessert. Die alten fälligen Verbindlichkeiten wurden dadurch nicht insgesamt beseitigt. Ein positives Fortführungsbudget ist nicht mit der Wiederherstellung allgemeiner Zahlungsfähigkeit gleichzusetzen. Eine zusätzliche Prüfung der Überschuldung ist für die Eröffnung wegen Zahlungsunfähigkeit nicht entscheidend.</w:t>
      </w:r>
    </w:p>
    <w:p>
      <w:pPr>
        <w:pStyle w:val="Heading2"/>
        <w:keepNext/>
        <w:widowControl/>
        <w:spacing w:after="140" w:line="254" w:lineRule="auto" w:before="200"/>
      </w:pPr>
      <w:r>
        <w:rPr>
          <w:rFonts w:ascii="Times New Roman" w:hAnsi="Times New Roman"/>
        </w:rPr>
        <w:t>3 Vermögensaufnahme und Rechte Dritter</w:t>
      </w:r>
    </w:p>
    <w:tbl>
      <w:tblPr>
        <w:tblStyle w:val="TableGrid"/>
        <w:tblW w:type="auto" w:w="0"/>
        <w:jc w:val="center"/>
        <w:tblLayout w:type="fixed"/>
        <w:tblLook w:firstColumn="1" w:firstRow="1" w:lastColumn="0" w:lastRow="0" w:noHBand="0" w:noVBand="1" w:val="04A0"/>
      </w:tblPr>
      <w:tblGrid>
        <w:gridCol w:w="3685"/>
        <w:gridCol w:w="2551"/>
        <w:gridCol w:w="2835"/>
      </w:tblGrid>
      <w:tr>
        <w:trPr>
          <w:cantSplit/>
          <w:tblHeader/>
        </w:trPr>
        <w:tc>
          <w:tcPr>
            <w:tcW w:type="dxa" w:w="3685"/>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Position zum 30.06.2026</w:t>
            </w:r>
          </w:p>
        </w:tc>
        <w:tc>
          <w:tcPr>
            <w:tcW w:type="dxa" w:w="255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Vorsichtiger Ansatz</w:t>
            </w:r>
          </w:p>
        </w:tc>
        <w:tc>
          <w:tcPr>
            <w:tcW w:type="dxa" w:w="2835"/>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Zuordnung</w:t>
            </w:r>
          </w:p>
        </w:tc>
      </w:tr>
      <w:tr>
        <w:trPr>
          <w:cantSplit/>
        </w:trPr>
        <w:tc>
          <w:tcPr>
            <w:tcW w:type="dxa" w:w="368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Freies Bankguthaben nach Überleitung</w:t>
            </w:r>
          </w:p>
        </w:tc>
        <w:tc>
          <w:tcPr>
            <w:tcW w:type="dxa" w:w="255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142.852,00 EUR</w:t>
            </w:r>
          </w:p>
        </w:tc>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Betriebskonto; kein Insolvenzgeldeingang</w:t>
            </w:r>
          </w:p>
        </w:tc>
      </w:tr>
      <w:tr>
        <w:trPr>
          <w:cantSplit/>
        </w:trPr>
        <w:tc>
          <w:tcPr>
            <w:tcW w:type="dxa" w:w="368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Unbelastete Maschinen und Fahrzeuge</w:t>
            </w:r>
          </w:p>
        </w:tc>
        <w:tc>
          <w:tcPr>
            <w:tcW w:type="dxa" w:w="255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185.000,00 EUR</w:t>
            </w:r>
          </w:p>
        </w:tc>
        <w:tc>
          <w:tcPr>
            <w:tcW w:type="dxa" w:w="283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Verwertungswert, nicht Buchwert</w:t>
            </w:r>
          </w:p>
        </w:tc>
      </w:tr>
      <w:tr>
        <w:trPr>
          <w:cantSplit/>
        </w:trPr>
        <w:tc>
          <w:tcPr>
            <w:tcW w:type="dxa" w:w="368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Unbelastetes Material und unfertige Arbeiten</w:t>
            </w:r>
          </w:p>
        </w:tc>
        <w:tc>
          <w:tcPr>
            <w:tcW w:type="dxa" w:w="255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72.000,00 EUR</w:t>
            </w:r>
          </w:p>
        </w:tc>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Inventur zu Nettoverwertungswerten</w:t>
            </w:r>
          </w:p>
        </w:tc>
      </w:tr>
      <w:tr>
        <w:trPr>
          <w:cantSplit/>
        </w:trPr>
        <w:tc>
          <w:tcPr>
            <w:tcW w:type="dxa" w:w="368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Freie Kundenforderungen</w:t>
            </w:r>
          </w:p>
        </w:tc>
        <w:tc>
          <w:tcPr>
            <w:tcW w:type="dxa" w:w="255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96.000,00 EUR</w:t>
            </w:r>
          </w:p>
        </w:tc>
        <w:tc>
          <w:tcPr>
            <w:tcW w:type="dxa" w:w="283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Nennwert 151.000,00 EUR, Einzelabschläge berücksichtigt</w:t>
            </w:r>
          </w:p>
        </w:tc>
      </w:tr>
      <w:tr>
        <w:trPr>
          <w:cantSplit/>
        </w:trPr>
        <w:tc>
          <w:tcPr>
            <w:tcW w:type="dxa" w:w="368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Freie Kautionen und sonstige Ansprüche</w:t>
            </w:r>
          </w:p>
        </w:tc>
        <w:tc>
          <w:tcPr>
            <w:tcW w:type="dxa" w:w="255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12.000,00 EUR</w:t>
            </w:r>
          </w:p>
        </w:tc>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Rückzahlung nach Abrechnung</w:t>
            </w:r>
          </w:p>
        </w:tc>
      </w:tr>
      <w:tr>
        <w:trPr>
          <w:cantSplit/>
        </w:trPr>
        <w:tc>
          <w:tcPr>
            <w:tcW w:type="dxa" w:w="368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Freie Aktiva gesamt</w:t>
            </w:r>
          </w:p>
        </w:tc>
        <w:tc>
          <w:tcPr>
            <w:tcW w:type="dxa" w:w="255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507.852,00 EUR</w:t>
            </w:r>
          </w:p>
        </w:tc>
        <w:tc>
          <w:tcPr>
            <w:tcW w:type="dxa" w:w="283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Vor Kosten und weiteren Masseausgaben</w:t>
            </w:r>
          </w:p>
        </w:tc>
      </w:tr>
      <w:tr>
        <w:trPr>
          <w:cantSplit/>
        </w:trPr>
        <w:tc>
          <w:tcPr>
            <w:tcW w:type="dxa" w:w="368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Sicherungsabgetretene Kundenforderung</w:t>
            </w:r>
          </w:p>
        </w:tc>
        <w:tc>
          <w:tcPr>
            <w:tcW w:type="dxa" w:w="255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12.000,00 EUR</w:t>
            </w:r>
          </w:p>
        </w:tc>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Nennwert 20.000,00 EUR; separat</w:t>
            </w:r>
          </w:p>
        </w:tc>
      </w:tr>
      <w:tr>
        <w:trPr>
          <w:cantSplit/>
        </w:trPr>
        <w:tc>
          <w:tcPr>
            <w:tcW w:type="dxa" w:w="368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Hebebühne mit Eigentumsvorbehalt</w:t>
            </w:r>
          </w:p>
        </w:tc>
        <w:tc>
          <w:tcPr>
            <w:tcW w:type="dxa" w:w="255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18.000,00 EUR</w:t>
            </w:r>
          </w:p>
        </w:tc>
        <w:tc>
          <w:tcPr>
            <w:tcW w:type="dxa" w:w="283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Separater Schätzwert; Kaufpreis offen</w:t>
            </w:r>
          </w:p>
        </w:tc>
      </w:tr>
      <w:tr>
        <w:trPr>
          <w:cantSplit/>
        </w:trPr>
        <w:tc>
          <w:tcPr>
            <w:tcW w:type="dxa" w:w="368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Erfasste Werte einschließlich Fremdrechten</w:t>
            </w:r>
          </w:p>
        </w:tc>
        <w:tc>
          <w:tcPr>
            <w:tcW w:type="dxa" w:w="255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537.852,00 EUR</w:t>
            </w:r>
          </w:p>
        </w:tc>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Keine frei verfügbare Masse in dieser Höhe</w:t>
            </w:r>
          </w:p>
        </w:tc>
      </w:tr>
    </w:tbl>
    <w:p>
      <w:pPr>
        <w:widowControl/>
        <w:spacing w:after="120" w:line="254" w:lineRule="auto"/>
        <w:jc w:val="left"/>
      </w:pPr>
      <w:r>
        <w:rPr>
          <w:rFonts w:ascii="Times New Roman" w:hAnsi="Times New Roman"/>
          <w:color w:val="000000"/>
          <w:sz w:val="22"/>
        </w:rPr>
        <w:t>Die Hebebühne Typ HS-42, Seriennummer HS42-260615-07, wurde am 15.06.2026 geliefert und befindet sich in Halle 2. Der Kaufpreis von 23.800,00 EUR ist offen. Der schriftliche Kaufvertrag enthält einfachen Eigentumsvorbehalt. Die Bestellung fällt nicht unter die Einzelermächtigung. Die laufende Benutzung ist in der Betriebsaufnahme erfasst; eine Erklärung der erst noch zu bestellenden endgültigen Verwalterin über die Vertragsfortsetzung wird hier nicht abgegeben.</w:t>
      </w:r>
    </w:p>
    <w:p>
      <w:pPr>
        <w:widowControl/>
        <w:spacing w:after="120" w:line="254" w:lineRule="auto"/>
        <w:jc w:val="left"/>
      </w:pPr>
      <w:r>
        <w:rPr>
          <w:rFonts w:ascii="Times New Roman" w:hAnsi="Times New Roman"/>
          <w:color w:val="000000"/>
          <w:sz w:val="22"/>
        </w:rPr>
        <w:t>Die Sicherungsabtretung an die Brückenbogen Objektfinanz GmbH betrifft eine bezeichnete Kundenforderung gegen die Gewerbepark Veltengrund GmbH mit einem Nennwert von 20.000,00 EUR. Wegen streitiger Restarbeiten hält der Kunde 8.000,00 EUR zurück. Ein voraussichtlich einziehbarer Betrag von 12.000,00 EUR ist daher nur eine Schätzung. Verwertungserlöse sind noch nicht eingegangen. Der gesicherte Darlehenssaldo beträgt laut Darlehenskonto 48.000,00 EUR.</w:t>
      </w:r>
    </w:p>
    <w:p>
      <w:pPr>
        <w:pStyle w:val="Heading2"/>
        <w:keepNext/>
        <w:widowControl/>
        <w:spacing w:after="140" w:line="254" w:lineRule="auto" w:before="200"/>
      </w:pPr>
      <w:r>
        <w:rPr>
          <w:rFonts w:ascii="Times New Roman" w:hAnsi="Times New Roman"/>
        </w:rPr>
        <w:t>4 Überleitung der liquiden Mittel</w:t>
      </w:r>
    </w:p>
    <w:p>
      <w:pPr>
        <w:widowControl/>
        <w:spacing w:after="120" w:line="254" w:lineRule="auto"/>
        <w:jc w:val="left"/>
      </w:pPr>
      <w:r>
        <w:rPr>
          <w:rFonts w:ascii="Times New Roman" w:hAnsi="Times New Roman"/>
          <w:color w:val="000000"/>
          <w:sz w:val="22"/>
        </w:rPr>
        <w:t>Der Bankbestand nach Verbuchung aller bis 29.06.2026 ausgeführten Aufträge beträgt 90.436,00 EUR. Für den 30.06.2026 sind 65.000,00 EUR freier Kundeneingang, 10.700,00 EUR laufende Betriebsausgaben und 1.884,00 EUR Finanzierungsentgelt verbindlich vorgemerkt. Daraus ergibt sich ein voraussichtlicher Schlussbestand von 142.852,00 EUR. Der entsprechende Kontoauszug wird nachgereicht. Kassenbestände verbleiben nicht; die am 06.05. eingezahlten 2.300,00 EUR sind bereits berücksichtigt.</w:t>
      </w:r>
    </w:p>
    <w:p>
      <w:pPr>
        <w:widowControl/>
        <w:spacing w:after="120" w:line="254" w:lineRule="auto"/>
        <w:jc w:val="left"/>
      </w:pPr>
      <w:r>
        <w:rPr>
          <w:rFonts w:ascii="Times New Roman" w:hAnsi="Times New Roman"/>
          <w:color w:val="000000"/>
          <w:sz w:val="22"/>
        </w:rPr>
        <w:t>Die Nettoentgelte April bis Juni von insgesamt 188.400,00 EUR werden außerhalb des Betriebskontos durch die Westbogen Gewerbebank AG vorfinanziert. Die Zustimmung der Agentur für Arbeit und die 28 Einzelabtretungen liegen vor. April und Mai sind ausgezahlt. Der freigegebene Junilauf beträgt 62.800,00 EUR und wird am 30.06. ausgeführt. Ein künftiger Insolvenzgeldeingang darf nicht als zusätzliche Betriebseinnahme geplant werden.</w:t>
      </w:r>
    </w:p>
    <w:p>
      <w:pPr>
        <w:pStyle w:val="Heading2"/>
        <w:keepNext/>
        <w:widowControl/>
        <w:spacing w:after="140" w:line="254" w:lineRule="auto" w:before="200"/>
      </w:pPr>
      <w:r>
        <w:rPr>
          <w:rFonts w:ascii="Times New Roman" w:hAnsi="Times New Roman"/>
        </w:rPr>
        <w:t>5 Kostendeckung und Fortführung</w:t>
      </w:r>
    </w:p>
    <w:p>
      <w:pPr>
        <w:widowControl/>
        <w:spacing w:after="120" w:line="254" w:lineRule="auto"/>
        <w:jc w:val="left"/>
      </w:pPr>
      <w:r>
        <w:rPr>
          <w:rFonts w:ascii="Times New Roman" w:hAnsi="Times New Roman"/>
          <w:color w:val="000000"/>
          <w:sz w:val="22"/>
        </w:rPr>
        <w:t>Die voraussichtlichen Gerichtskosten, Vergütungen einschließlich der vorläufigen Verwaltung und Auslagen werden zusammen mit 86.000,00 EUR kalkuliert. Für die nächste Betriebsphase wird eine zusätzliche Liquiditätsreserve von 70.000,00 EUR vorgesehen. Nach Abzug beider Beträge von den freien Vermögenswerten verbleiben rechnerisch 351.852,00 EUR, bevor weitere Masseverbindlichkeiten und Verwertungsrisiken berücksichtigt werden. Diese Rechnung ist keine Verteilungsprognose und keine Quotenzusage.</w:t>
      </w:r>
    </w:p>
    <w:p>
      <w:pPr>
        <w:widowControl/>
        <w:spacing w:after="120" w:line="254" w:lineRule="auto"/>
        <w:jc w:val="left"/>
      </w:pPr>
      <w:r>
        <w:rPr>
          <w:rFonts w:ascii="Times New Roman" w:hAnsi="Times New Roman"/>
          <w:color w:val="000000"/>
          <w:sz w:val="22"/>
        </w:rPr>
        <w:t>Für Juli werden 228.000,00 EUR Einzahlungen und 218.000,00 EUR Auszahlungen geplant. Ausgehend von 142.852,00 EUR ergibt das 152.852,00 EUR am Monatsende. Im August sind 240.000,00 EUR Einzahlungen und 232.000,00 EUR Auszahlungen geplant, mithin 160.852,00 EUR Schlussliquidität. Die Ausgaben enthalten ab Juli wieder laufende Nettolöhne aus dem Betrieb sowie laufende Personalnebenkosten, Miete und Material. Die reservierten Verfahrenskosten von 86.000,00 EUR werden bei der Freigabe von Ausgaben gesperrt; sie sind keine zusätzliche Einzahlung.</w:t>
      </w:r>
    </w:p>
    <w:p>
      <w:pPr>
        <w:widowControl/>
        <w:spacing w:after="120" w:line="254" w:lineRule="auto"/>
        <w:jc w:val="left"/>
      </w:pPr>
      <w:r>
        <w:rPr>
          <w:rFonts w:ascii="Times New Roman" w:hAnsi="Times New Roman"/>
          <w:color w:val="000000"/>
          <w:sz w:val="22"/>
        </w:rPr>
        <w:t>Die drei speziell ermächtigten Materialbestellungen über 35.700,00 EUR wurden vollständig geliefert und bis 22.06.2026 bezahlt. Es bestehen daraus nach dem Bestelljournal keine offenen Kaufpreise. Andere vor Eröffnung begründete Verpflichtungen sind jeweils nach Entstehung und Rechtsgrund gesondert zu behandeln. Eine generelle Massehaftung aus meiner Zustimmung zur Fortführung ist weder beantragt noch angeordnet.</w:t>
      </w:r>
    </w:p>
    <w:p>
      <w:pPr>
        <w:pStyle w:val="Heading2"/>
        <w:keepNext/>
        <w:widowControl/>
        <w:spacing w:after="140" w:line="254" w:lineRule="auto" w:before="200"/>
      </w:pPr>
      <w:r>
        <w:rPr>
          <w:rFonts w:ascii="Times New Roman" w:hAnsi="Times New Roman"/>
        </w:rPr>
        <w:t>6 Unsicherheiten und weiterer Verlauf</w:t>
      </w:r>
    </w:p>
    <w:p>
      <w:pPr>
        <w:widowControl/>
        <w:spacing w:after="120" w:line="254" w:lineRule="auto"/>
        <w:jc w:val="left"/>
      </w:pPr>
      <w:r>
        <w:rPr>
          <w:rFonts w:ascii="Times New Roman" w:hAnsi="Times New Roman"/>
          <w:color w:val="000000"/>
          <w:sz w:val="22"/>
        </w:rPr>
        <w:t>Ein verbindlicher Erwerber liegt noch nicht vor. Die Fortführungsplanung setzt voraus, dass die drei größten Kunden laufende Aufmaße fristgerecht freigeben. Ein Forderungsausfall von weiteren 40.000,00 EUR würde den freien Liquiditätspuffer spürbar verkleinern. Die Fortführung wird deshalb wöchentlich anhand des tatsächlichen Bankstands gesteuert. Das Verfahren sollte eröffnet und ein Berichtstermin mit Prüfungstermin bestimmt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Dr. Malin Tervens, Rechtsanwältin, vorläufige Insolvenzverwalterin und Sachverständige</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Tervens &amp; Sander 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Tervens &amp; Sander Rechtsanwälte PartG mbB</w:t>
    </w:r>
  </w:p>
  <w:p>
    <w:pPr>
      <w:spacing w:after="60"/>
      <w:jc w:val="left"/>
      <w:pBdr>
        <w:bottom w:val="single" w:sz="8" w:space="2" w:color="3B3F45"/>
      </w:pBdr>
    </w:pPr>
    <w:r>
      <w:rPr>
        <w:rFonts w:ascii="Times New Roman" w:hAnsi="Times New Roman"/>
        <w:b w:val="0"/>
        <w:color w:val="000000"/>
        <w:sz w:val="16"/>
      </w:rPr>
      <w:t>Rheinbogenplatz 6, 50679 Köln | verfahren@tervens-sander.example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Gutachten zur Verfahrenseröffnung und Fortführungsbericht, 72 IN 184/26</dc:title>
  <dc:subject>Rheinsteg Ausbau und Metalltechnik GmbH</dc:subject>
  <dc:creator>Tervens &amp; Sander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