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spacing w:after="60" w:line="254" w:lineRule="auto"/>
        <w:jc w:val="left"/>
      </w:pPr>
      <w:r>
        <w:rPr>
          <w:rFonts w:ascii="Times New Roman" w:hAnsi="Times New Roman"/>
          <w:color w:val="000000"/>
          <w:sz w:val="22"/>
        </w:rPr>
        <w:t>An Tervens &amp; Sander Rechtsanwälte PartG mbB</w:t>
      </w:r>
    </w:p>
    <w:p>
      <w:pPr>
        <w:widowControl/>
        <w:spacing w:after="60" w:line="254" w:lineRule="auto"/>
        <w:jc w:val="left"/>
      </w:pPr>
      <w:r>
        <w:rPr>
          <w:rFonts w:ascii="Times New Roman" w:hAnsi="Times New Roman"/>
          <w:color w:val="000000"/>
          <w:sz w:val="22"/>
        </w:rPr>
        <w:t>Rheinbogenplatz 6, 50679 Köln</w:t>
      </w:r>
    </w:p>
    <w:p>
      <w:pPr>
        <w:widowControl/>
        <w:spacing w:after="60" w:line="254" w:lineRule="auto"/>
        <w:jc w:val="left"/>
      </w:pPr>
      <w:r>
        <w:rPr>
          <w:rFonts w:ascii="Times New Roman" w:hAnsi="Times New Roman"/>
          <w:color w:val="000000"/>
          <w:sz w:val="22"/>
        </w:rPr>
        <w:t>Datum: 21.07.2026</w:t>
      </w:r>
    </w:p>
    <w:p>
      <w:pPr>
        <w:pStyle w:val="Title"/>
        <w:keepNext/>
        <w:widowControl/>
        <w:spacing w:after="240" w:line="254" w:lineRule="auto" w:before="160"/>
        <w:jc w:val="left"/>
      </w:pPr>
      <w:r>
        <w:rPr>
          <w:b/>
          <w:sz w:val="24"/>
        </w:rPr>
        <w:t>Forderungsanmeldung 02; 72 IN 184/26; Schuldnerin Rheinsteg Ausbau und Metalltechnik GmbH</w:t>
      </w:r>
    </w:p>
    <w:p>
      <w:pPr>
        <w:widowControl/>
        <w:spacing w:after="120" w:line="254" w:lineRule="auto"/>
        <w:jc w:val="left"/>
      </w:pPr>
      <w:r>
        <w:rPr>
          <w:rFonts w:ascii="Times New Roman" w:hAnsi="Times New Roman"/>
          <w:color w:val="000000"/>
          <w:sz w:val="22"/>
        </w:rPr>
        <w:t>Sehr geehrte Frau Dr. Tervens,</w:t>
      </w:r>
    </w:p>
    <w:p>
      <w:pPr>
        <w:widowControl/>
        <w:spacing w:after="120" w:line="254" w:lineRule="auto"/>
        <w:jc w:val="left"/>
      </w:pPr>
      <w:r>
        <w:rPr>
          <w:rFonts w:ascii="Times New Roman" w:hAnsi="Times New Roman"/>
          <w:color w:val="000000"/>
          <w:sz w:val="22"/>
        </w:rPr>
        <w:t>namens der Stahlkontor Marvink GmbH, Hüttenring 24, 51379 Leverkusen, vertreten durch Selma Harven, melden wir die nachfolgend bezeichnete Forderung im Insolvenzverfahren an. Zustellungs- und Korrespondenzadresse ist die genannte Geschäftsanschrift; eine Vertretung durch einen externen Bevollmächtigten besteht nicht.</w:t>
      </w:r>
    </w:p>
    <w:tbl>
      <w:tblPr>
        <w:tblStyle w:val="TableGrid"/>
        <w:tblW w:type="auto" w:w="0"/>
        <w:jc w:val="center"/>
        <w:tblLayout w:type="fixed"/>
        <w:tblLook w:firstColumn="1" w:firstRow="1" w:lastColumn="0" w:lastRow="0" w:noHBand="0" w:noVBand="1" w:val="04A0"/>
      </w:tblPr>
      <w:tblGrid>
        <w:gridCol w:w="5669"/>
        <w:gridCol w:w="3402"/>
      </w:tblGrid>
      <w:tr>
        <w:trPr>
          <w:cantSplit/>
          <w:tblHeader/>
        </w:trPr>
        <w:tc>
          <w:tcPr>
            <w:tcW w:type="dxa" w:w="5669"/>
            <w:vAlign w:val="center"/>
            <w:tcMar>
              <w:top w:w="75" w:type="dxa"/>
              <w:bottom w:w="75" w:type="dxa"/>
              <w:left w:w="75" w:type="dxa"/>
              <w:right w:w="75" w:type="dxa"/>
            </w:tcMar>
            <w:shd w:fill="E6E9EC"/>
            <w:tcBorders>
              <w:top w:val="single" w:sz="4" w:color="D9D9D9"/>
              <w:left w:val="single" w:sz="4" w:color="D9D9D9"/>
              <w:bottom w:val="single" w:sz="4" w:color="D9D9D9"/>
              <w:right w:val="single" w:sz="4" w:color="D9D9D9"/>
            </w:tcBorders>
          </w:tcPr>
          <w:p>
            <w:pPr>
              <w:keepNext/>
              <w:spacing w:after="40" w:before="40" w:line="240" w:lineRule="auto"/>
            </w:pPr>
            <w:r>
              <w:rPr>
                <w:rFonts w:ascii="Times New Roman" w:hAnsi="Times New Roman"/>
                <w:b/>
                <w:color w:val="000000"/>
                <w:sz w:val="20"/>
              </w:rPr>
              <w:t>Forderungsbestandteil</w:t>
            </w:r>
          </w:p>
        </w:tc>
        <w:tc>
          <w:tcPr>
            <w:tcW w:type="dxa" w:w="3402"/>
            <w:vAlign w:val="center"/>
            <w:tcMar>
              <w:top w:w="75" w:type="dxa"/>
              <w:bottom w:w="75" w:type="dxa"/>
              <w:left w:w="75" w:type="dxa"/>
              <w:right w:w="75" w:type="dxa"/>
            </w:tcMar>
            <w:shd w:fill="E6E9EC"/>
            <w:tcBorders>
              <w:top w:val="single" w:sz="4" w:color="D9D9D9"/>
              <w:left w:val="single" w:sz="4" w:color="D9D9D9"/>
              <w:bottom w:val="single" w:sz="4" w:color="D9D9D9"/>
              <w:right w:val="single" w:sz="4" w:color="D9D9D9"/>
            </w:tcBorders>
          </w:tcPr>
          <w:p>
            <w:pPr>
              <w:keepNext/>
              <w:spacing w:after="40" w:before="40" w:line="240" w:lineRule="auto"/>
            </w:pPr>
            <w:r>
              <w:rPr>
                <w:rFonts w:ascii="Times New Roman" w:hAnsi="Times New Roman"/>
                <w:b/>
                <w:color w:val="000000"/>
                <w:sz w:val="20"/>
              </w:rPr>
              <w:t>Betrag</w:t>
            </w:r>
          </w:p>
        </w:tc>
      </w:tr>
      <w:tr>
        <w:trPr>
          <w:cantSplit/>
        </w:trPr>
        <w:tc>
          <w:tcPr>
            <w:tcW w:type="dxa" w:w="5669"/>
            <w:vAlign w:val="center"/>
            <w:tcMar>
              <w:top w:w="75" w:type="dxa"/>
              <w:bottom w:w="75" w:type="dxa"/>
              <w:left w:w="75" w:type="dxa"/>
              <w:right w:w="75" w:type="dxa"/>
            </w:tcMar>
            <w:shd w:fill="FFFFFF"/>
            <w:tcBorders>
              <w:top w:val="single" w:sz="4" w:color="D9D9D9"/>
              <w:left w:val="single" w:sz="4" w:color="D9D9D9"/>
              <w:bottom w:val="single" w:sz="4" w:color="D9D9D9"/>
              <w:right w:val="single" w:sz="4" w:color="D9D9D9"/>
            </w:tcBorders>
          </w:tcPr>
          <w:p>
            <w:pPr>
              <w:spacing w:after="40" w:before="40" w:line="240" w:lineRule="auto"/>
            </w:pPr>
            <w:r>
              <w:rPr>
                <w:rFonts w:ascii="Times New Roman" w:hAnsi="Times New Roman"/>
                <w:b w:val="0"/>
                <w:color w:val="000000"/>
                <w:sz w:val="20"/>
              </w:rPr>
              <w:t>Hauptforderung</w:t>
            </w:r>
          </w:p>
        </w:tc>
        <w:tc>
          <w:tcPr>
            <w:tcW w:type="dxa" w:w="3402"/>
            <w:vAlign w:val="center"/>
            <w:tcMar>
              <w:top w:w="75" w:type="dxa"/>
              <w:bottom w:w="75" w:type="dxa"/>
              <w:left w:w="75" w:type="dxa"/>
              <w:right w:w="75" w:type="dxa"/>
            </w:tcMar>
            <w:shd w:fill="FFFFFF"/>
            <w:tcBorders>
              <w:top w:val="single" w:sz="4" w:color="D9D9D9"/>
              <w:left w:val="single" w:sz="4" w:color="D9D9D9"/>
              <w:bottom w:val="single" w:sz="4" w:color="D9D9D9"/>
              <w:right w:val="single" w:sz="4" w:color="D9D9D9"/>
            </w:tcBorders>
          </w:tcPr>
          <w:p>
            <w:pPr>
              <w:spacing w:after="40" w:before="40" w:line="240" w:lineRule="auto"/>
            </w:pPr>
            <w:r>
              <w:rPr>
                <w:rFonts w:ascii="Times New Roman" w:hAnsi="Times New Roman"/>
                <w:b w:val="0"/>
                <w:color w:val="000000"/>
                <w:sz w:val="20"/>
              </w:rPr>
              <w:t>17.850,00 EUR</w:t>
            </w:r>
          </w:p>
        </w:tc>
      </w:tr>
      <w:tr>
        <w:trPr>
          <w:cantSplit/>
        </w:trPr>
        <w:tc>
          <w:tcPr>
            <w:tcW w:type="dxa" w:w="5669"/>
            <w:vAlign w:val="center"/>
            <w:tcMar>
              <w:top w:w="75" w:type="dxa"/>
              <w:bottom w:w="75" w:type="dxa"/>
              <w:left w:w="75" w:type="dxa"/>
              <w:right w:w="75" w:type="dxa"/>
            </w:tcMar>
            <w:shd w:fill="F6F7F8"/>
            <w:tcBorders>
              <w:top w:val="single" w:sz="4" w:color="D9D9D9"/>
              <w:left w:val="single" w:sz="4" w:color="D9D9D9"/>
              <w:bottom w:val="single" w:sz="4" w:color="D9D9D9"/>
              <w:right w:val="single" w:sz="4" w:color="D9D9D9"/>
            </w:tcBorders>
          </w:tcPr>
          <w:p>
            <w:pPr>
              <w:spacing w:after="40" w:before="40" w:line="240" w:lineRule="auto"/>
            </w:pPr>
            <w:r>
              <w:rPr>
                <w:rFonts w:ascii="Times New Roman" w:hAnsi="Times New Roman"/>
                <w:b w:val="0"/>
                <w:color w:val="000000"/>
                <w:sz w:val="20"/>
              </w:rPr>
              <w:t>Zinsen bis Eröffnung</w:t>
            </w:r>
          </w:p>
        </w:tc>
        <w:tc>
          <w:tcPr>
            <w:tcW w:type="dxa" w:w="3402"/>
            <w:vAlign w:val="center"/>
            <w:tcMar>
              <w:top w:w="75" w:type="dxa"/>
              <w:bottom w:w="75" w:type="dxa"/>
              <w:left w:w="75" w:type="dxa"/>
              <w:right w:w="75" w:type="dxa"/>
            </w:tcMar>
            <w:shd w:fill="F6F7F8"/>
            <w:tcBorders>
              <w:top w:val="single" w:sz="4" w:color="D9D9D9"/>
              <w:left w:val="single" w:sz="4" w:color="D9D9D9"/>
              <w:bottom w:val="single" w:sz="4" w:color="D9D9D9"/>
              <w:right w:val="single" w:sz="4" w:color="D9D9D9"/>
            </w:tcBorders>
          </w:tcPr>
          <w:p>
            <w:pPr>
              <w:spacing w:after="40" w:before="40" w:line="240" w:lineRule="auto"/>
            </w:pPr>
            <w:r>
              <w:rPr>
                <w:rFonts w:ascii="Times New Roman" w:hAnsi="Times New Roman"/>
                <w:b w:val="0"/>
                <w:color w:val="000000"/>
                <w:sz w:val="20"/>
              </w:rPr>
              <w:t>0,00 EUR</w:t>
            </w:r>
          </w:p>
        </w:tc>
      </w:tr>
      <w:tr>
        <w:trPr>
          <w:cantSplit/>
        </w:trPr>
        <w:tc>
          <w:tcPr>
            <w:tcW w:type="dxa" w:w="5669"/>
            <w:vAlign w:val="center"/>
            <w:tcMar>
              <w:top w:w="75" w:type="dxa"/>
              <w:bottom w:w="75" w:type="dxa"/>
              <w:left w:w="75" w:type="dxa"/>
              <w:right w:w="75" w:type="dxa"/>
            </w:tcMar>
            <w:shd w:fill="FFFFFF"/>
            <w:tcBorders>
              <w:top w:val="single" w:sz="4" w:color="D9D9D9"/>
              <w:left w:val="single" w:sz="4" w:color="D9D9D9"/>
              <w:bottom w:val="single" w:sz="4" w:color="D9D9D9"/>
              <w:right w:val="single" w:sz="4" w:color="D9D9D9"/>
            </w:tcBorders>
          </w:tcPr>
          <w:p>
            <w:pPr>
              <w:spacing w:after="40" w:before="40" w:line="240" w:lineRule="auto"/>
            </w:pPr>
            <w:r>
              <w:rPr>
                <w:rFonts w:ascii="Times New Roman" w:hAnsi="Times New Roman"/>
                <w:b w:val="0"/>
                <w:color w:val="000000"/>
                <w:sz w:val="20"/>
              </w:rPr>
              <w:t>Kosten</w:t>
            </w:r>
          </w:p>
        </w:tc>
        <w:tc>
          <w:tcPr>
            <w:tcW w:type="dxa" w:w="3402"/>
            <w:vAlign w:val="center"/>
            <w:tcMar>
              <w:top w:w="75" w:type="dxa"/>
              <w:bottom w:w="75" w:type="dxa"/>
              <w:left w:w="75" w:type="dxa"/>
              <w:right w:w="75" w:type="dxa"/>
            </w:tcMar>
            <w:shd w:fill="FFFFFF"/>
            <w:tcBorders>
              <w:top w:val="single" w:sz="4" w:color="D9D9D9"/>
              <w:left w:val="single" w:sz="4" w:color="D9D9D9"/>
              <w:bottom w:val="single" w:sz="4" w:color="D9D9D9"/>
              <w:right w:val="single" w:sz="4" w:color="D9D9D9"/>
            </w:tcBorders>
          </w:tcPr>
          <w:p>
            <w:pPr>
              <w:spacing w:after="40" w:before="40" w:line="240" w:lineRule="auto"/>
            </w:pPr>
            <w:r>
              <w:rPr>
                <w:rFonts w:ascii="Times New Roman" w:hAnsi="Times New Roman"/>
                <w:b w:val="0"/>
                <w:color w:val="000000"/>
                <w:sz w:val="20"/>
              </w:rPr>
              <w:t>0,00 EUR</w:t>
            </w:r>
          </w:p>
        </w:tc>
      </w:tr>
      <w:tr>
        <w:trPr>
          <w:cantSplit/>
        </w:trPr>
        <w:tc>
          <w:tcPr>
            <w:tcW w:type="dxa" w:w="5669"/>
            <w:vAlign w:val="center"/>
            <w:tcMar>
              <w:top w:w="75" w:type="dxa"/>
              <w:bottom w:w="75" w:type="dxa"/>
              <w:left w:w="75" w:type="dxa"/>
              <w:right w:w="75" w:type="dxa"/>
            </w:tcMar>
            <w:shd w:fill="F6F7F8"/>
            <w:tcBorders>
              <w:top w:val="single" w:sz="4" w:color="D9D9D9"/>
              <w:left w:val="single" w:sz="4" w:color="D9D9D9"/>
              <w:bottom w:val="single" w:sz="4" w:color="D9D9D9"/>
              <w:right w:val="single" w:sz="4" w:color="D9D9D9"/>
            </w:tcBorders>
          </w:tcPr>
          <w:p>
            <w:pPr>
              <w:spacing w:after="40" w:before="40" w:line="240" w:lineRule="auto"/>
            </w:pPr>
            <w:r>
              <w:rPr>
                <w:rFonts w:ascii="Times New Roman" w:hAnsi="Times New Roman"/>
                <w:b w:val="0"/>
                <w:color w:val="000000"/>
                <w:sz w:val="20"/>
              </w:rPr>
              <w:t>Angemeldeter Gesamtbetrag</w:t>
            </w:r>
          </w:p>
        </w:tc>
        <w:tc>
          <w:tcPr>
            <w:tcW w:type="dxa" w:w="3402"/>
            <w:vAlign w:val="center"/>
            <w:tcMar>
              <w:top w:w="75" w:type="dxa"/>
              <w:bottom w:w="75" w:type="dxa"/>
              <w:left w:w="75" w:type="dxa"/>
              <w:right w:w="75" w:type="dxa"/>
            </w:tcMar>
            <w:shd w:fill="F6F7F8"/>
            <w:tcBorders>
              <w:top w:val="single" w:sz="4" w:color="D9D9D9"/>
              <w:left w:val="single" w:sz="4" w:color="D9D9D9"/>
              <w:bottom w:val="single" w:sz="4" w:color="D9D9D9"/>
              <w:right w:val="single" w:sz="4" w:color="D9D9D9"/>
            </w:tcBorders>
          </w:tcPr>
          <w:p>
            <w:pPr>
              <w:spacing w:after="40" w:before="40" w:line="240" w:lineRule="auto"/>
            </w:pPr>
            <w:r>
              <w:rPr>
                <w:rFonts w:ascii="Times New Roman" w:hAnsi="Times New Roman"/>
                <w:b w:val="0"/>
                <w:color w:val="000000"/>
                <w:sz w:val="20"/>
              </w:rPr>
              <w:t>17.850,00 EUR</w:t>
            </w:r>
          </w:p>
        </w:tc>
      </w:tr>
    </w:tbl>
    <w:p>
      <w:pPr>
        <w:widowControl/>
        <w:spacing w:after="120" w:line="254" w:lineRule="auto"/>
        <w:jc w:val="left"/>
      </w:pPr>
      <w:r>
        <w:rPr>
          <w:rFonts w:ascii="Times New Roman" w:hAnsi="Times New Roman"/>
          <w:color w:val="000000"/>
          <w:sz w:val="22"/>
        </w:rPr>
        <w:t>Der Forderungsgrund lautet: Kaufpreis für Stahlprofile, Bestellung RS-260305, Rechnung SM-260324 vom 24.03.2026. Die Forderung richtet sich ausschließlich gegen die Schuldnerin. Wir beziehen uns auf die beigefügten Unterlagen und bitten um Zuordnung unter der laufenden Eingangsnummer 02.</w:t>
      </w:r>
    </w:p>
    <w:p>
      <w:pPr>
        <w:widowControl/>
        <w:spacing w:after="120" w:line="254" w:lineRule="auto"/>
        <w:jc w:val="left"/>
      </w:pPr>
      <w:r>
        <w:rPr>
          <w:rFonts w:ascii="Times New Roman" w:hAnsi="Times New Roman"/>
          <w:color w:val="000000"/>
          <w:sz w:val="22"/>
        </w:rPr>
        <w:t>Die Ware wurde vollständig geliefert und ohne Fehlmengen übernommen. Auf diese Rechnung ist keine Zahlung eingegangen. Die im Mai gesondert bestellten Profile sind nicht Gegenstand dieser Anmeldung.</w:t>
      </w:r>
    </w:p>
    <w:p>
      <w:pPr>
        <w:widowControl/>
        <w:spacing w:after="120" w:line="254" w:lineRule="auto"/>
        <w:jc w:val="left"/>
      </w:pPr>
      <w:r>
        <w:rPr>
          <w:rFonts w:ascii="Times New Roman" w:hAnsi="Times New Roman"/>
          <w:color w:val="000000"/>
          <w:sz w:val="22"/>
        </w:rPr>
        <w:t>Ein besonderer Forderungsgrund wegen vorsätzlich begangener unerlaubter Handlung, Unterhaltspflichtverletzung oder Steuerstraftat wird nicht geltend gemacht. Die Anmeldung erfolgt in Euro. Weitere Nebenforderungen bleiben außerhalb dieser Anmeldung; der ausgewiesene Betrag enthält keine pauschalen Bearbeitungsgebühren.</w:t>
      </w:r>
    </w:p>
    <w:p>
      <w:pPr>
        <w:widowControl/>
        <w:spacing w:after="120" w:line="254" w:lineRule="auto"/>
        <w:jc w:val="left"/>
      </w:pPr>
      <w:r>
        <w:rPr>
          <w:rFonts w:ascii="Times New Roman" w:hAnsi="Times New Roman"/>
          <w:color w:val="000000"/>
          <w:sz w:val="22"/>
        </w:rPr>
        <w:t>Als Belege werden vorgelegt: Bestellung RS-260305, Rechnung SM-260324 und Lieferschein LS-0323. Die Unterlagen werden als Kopien beziehungsweise elektronische Abschriften übermittelt. Originale können bei Bedarf nachgereicht werden. Bitte bestätigen Sie den Eingang und teilen Sie uns mit, wenn weitere Unterlagen zur tatsächlichen Zuordnung benötigt werden.</w:t>
      </w:r>
    </w:p>
    <w:p>
      <w:pPr>
        <w:keepNext/>
        <w:widowControl/>
        <w:spacing w:after="120" w:line="254" w:lineRule="auto"/>
        <w:jc w:val="left"/>
      </w:pPr>
      <w:r>
        <w:rPr>
          <w:rFonts w:ascii="Times New Roman" w:hAnsi="Times New Roman"/>
          <w:color w:val="000000"/>
          <w:sz w:val="22"/>
        </w:rPr>
        <w:t>Mit freundlichen Grüßen</w:t>
      </w:r>
    </w:p>
    <w:p>
      <w:pPr>
        <w:widowControl/>
        <w:spacing w:after="120" w:line="254" w:lineRule="auto"/>
        <w:jc w:val="left"/>
      </w:pPr>
      <w:r>
        <w:rPr>
          <w:rFonts w:ascii="Times New Roman" w:hAnsi="Times New Roman"/>
          <w:color w:val="000000"/>
          <w:sz w:val="22"/>
        </w:rPr>
        <w:t>Selma Harven, Prokuristin</w:t>
      </w:r>
    </w:p>
    <w:sectPr w:rsidR="00FC693F" w:rsidRPr="0006063C" w:rsidSect="00034616">
      <w:headerReference w:type="default" r:id="rId9"/>
      <w:footerReference w:type="default" r:id="rId10"/>
      <w:pgSz w:w="11906" w:h="16838"/>
      <w:pgMar w:top="1701" w:right="1417" w:bottom="1134" w:left="141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Stahlkontor Marvink GmbH</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60"/>
      <w:jc w:val="left"/>
    </w:pPr>
    <w:r>
      <w:rPr>
        <w:rFonts w:ascii="Times New Roman" w:hAnsi="Times New Roman"/>
        <w:b/>
        <w:color w:val="000000"/>
        <w:sz w:val="22"/>
      </w:rPr>
      <w:t>Stahlkontor Marvink GmbH</w:t>
    </w:r>
  </w:p>
  <w:p>
    <w:pPr>
      <w:spacing w:after="60"/>
      <w:jc w:val="left"/>
      <w:pBdr>
        <w:bottom w:val="single" w:sz="6" w:space="2" w:color="2C5230"/>
      </w:pBdr>
    </w:pPr>
    <w:r>
      <w:rPr>
        <w:rFonts w:ascii="Times New Roman" w:hAnsi="Times New Roman"/>
        <w:b w:val="0"/>
        <w:color w:val="000000"/>
        <w:sz w:val="16"/>
      </w:rPr>
      <w:t>Hüttenring 24, 51379 Leverkusen | debitoren@marvink-stahl.example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Times New Roman" w:hAnsi="Times New Roman"/>
      <w:color w:val="000000"/>
      <w:spacing w:val="5"/>
      <w:kern w:val="28"/>
      <w:sz w:val="2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Forderungsanmeldung 02; 72 IN 184/26; Schuldnerin Rheinsteg Ausbau und Metalltechnik GmbH</dc:title>
  <dc:subject>Rheinsteg Ausbau und Metalltechnik GmbH</dc:subject>
  <dc:creator>Stahlkontor Marvink GmbH</dc:creator>
  <cp:keywords/>
  <dc:description>generated by python-docx</dc:description>
  <cp:lastModifiedBy/>
  <cp:revision>1</cp:revision>
  <dcterms:created xsi:type="dcterms:W3CDTF">2013-12-23T23:15:00Z</dcterms:created>
  <dcterms:modified xsi:type="dcterms:W3CDTF">2013-12-23T23:15:00Z</dcterms:modified>
  <cp:category/>
</cp:coreProperties>
</file>