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01.02.2023</w:t>
      </w:r>
    </w:p>
    <w:p>
      <w:pPr>
        <w:pStyle w:val="Title"/>
        <w:keepNext/>
        <w:widowControl/>
        <w:spacing w:after="240" w:line="254" w:lineRule="auto" w:before="160"/>
        <w:jc w:val="left"/>
      </w:pPr>
      <w:r>
        <w:rPr>
          <w:b/>
          <w:sz w:val="24"/>
        </w:rPr>
        <w:t>Gewerbemietvertrag und Dauerrechnung TG-230201</w:t>
      </w:r>
    </w:p>
    <w:p>
      <w:pPr>
        <w:widowControl/>
        <w:spacing w:after="120" w:line="254" w:lineRule="auto"/>
        <w:jc w:val="left"/>
      </w:pPr>
      <w:r>
        <w:rPr>
          <w:rFonts w:ascii="Times New Roman" w:hAnsi="Times New Roman"/>
          <w:color w:val="000000"/>
          <w:sz w:val="22"/>
        </w:rPr>
        <w:t>Zwischen der Torwinkel Gewerbehöfe GmbH als Vermieterin und der Rheinsteg Ausbau und Metalltechnik GmbH als Mieterin wird folgender Vertrag geschlossen.</w:t>
      </w:r>
    </w:p>
    <w:p>
      <w:pPr>
        <w:pStyle w:val="Heading2"/>
        <w:keepNext/>
        <w:widowControl/>
        <w:spacing w:after="140" w:line="254" w:lineRule="auto" w:before="200"/>
      </w:pPr>
      <w:r>
        <w:rPr>
          <w:rFonts w:ascii="Times New Roman" w:hAnsi="Times New Roman"/>
        </w:rPr>
        <w:t>1 Mieträume und Nutzung</w:t>
      </w:r>
    </w:p>
    <w:p>
      <w:pPr>
        <w:widowControl/>
        <w:spacing w:after="120" w:line="254" w:lineRule="auto"/>
        <w:jc w:val="left"/>
      </w:pPr>
      <w:r>
        <w:rPr>
          <w:rFonts w:ascii="Times New Roman" w:hAnsi="Times New Roman"/>
          <w:color w:val="000000"/>
          <w:sz w:val="22"/>
        </w:rPr>
        <w:t>Die Vermieterin überlässt der Mieterin ab 01.03.2023 die Werkhallen 1 und 2, die Büroeinheit und sechs Stellplätze am Montagehof 18, 51149 Köln. Die Gesamtfläche beträgt 980 m². Zulässig sind Metallverarbeitung, Vormontage und Verwaltung. Bauliche Änderungen bedürfen der vorherigen schriftlichen Zustimmung; die öffentlich-rechtlichen Anforderungen an den Betrieb trägt die Mieterin.</w:t>
      </w:r>
    </w:p>
    <w:p>
      <w:pPr>
        <w:pStyle w:val="Heading2"/>
        <w:keepNext/>
        <w:widowControl/>
        <w:spacing w:after="140" w:line="254" w:lineRule="auto" w:before="200"/>
      </w:pPr>
      <w:r>
        <w:rPr>
          <w:rFonts w:ascii="Times New Roman" w:hAnsi="Times New Roman"/>
        </w:rPr>
        <w:t>2 Entgelt und Umsatzsteuer</w:t>
      </w:r>
    </w:p>
    <w:p>
      <w:pPr>
        <w:widowControl/>
        <w:spacing w:after="120" w:line="254" w:lineRule="auto"/>
        <w:jc w:val="left"/>
      </w:pPr>
      <w:r>
        <w:rPr>
          <w:rFonts w:ascii="Times New Roman" w:hAnsi="Times New Roman"/>
          <w:color w:val="000000"/>
          <w:sz w:val="22"/>
        </w:rPr>
        <w:t>Die monatliche Miete beträgt 4.300,00 EUR netto. Zusätzlich wird eine abschließende Betriebskostenpauschale von 500,00 EUR netto vereinbart; eine jährliche Nachberechnung aus dieser Pauschale erfolgt nicht. Stromlieferungen werden durch die Mieterin selbst bezogen. Die Vermieterin optiert für die Umsatzsteuer, die Mieterin bestätigt die ausschließlich zum Vorsteuerabzug berechtigende Nutzung. Auf 4.800,00 EUR netto fallen 912,00 EUR Umsatzsteuer zu 19 Prozent an. Monatlich sind insgesamt 5.712,00 EUR zu zahlen.</w:t>
      </w:r>
    </w:p>
    <w:p>
      <w:pPr>
        <w:widowControl/>
        <w:spacing w:after="120" w:line="254" w:lineRule="auto"/>
        <w:jc w:val="left"/>
      </w:pPr>
      <w:r>
        <w:rPr>
          <w:rFonts w:ascii="Times New Roman" w:hAnsi="Times New Roman"/>
          <w:color w:val="000000"/>
          <w:sz w:val="22"/>
        </w:rPr>
        <w:t>Dieser Vertrag ist zugleich Dauerrechnung TG-230201 mit Leistungsbeginn 01.03.2023 und laufendem monatlichen Leistungszeitraum. Die Steuernummer der Vermieterin lautet 214/5726/0216. Die Miete ist bis zum dritten Werktag jedes Monats auf das Geschäftskonto TG-4418 der Vermieterin zu zahlen. Der jeweilige Monat ist im Verwendungszweck anzugeben.</w:t>
      </w:r>
    </w:p>
    <w:p>
      <w:pPr>
        <w:pStyle w:val="Heading2"/>
        <w:keepNext/>
        <w:widowControl/>
        <w:spacing w:after="140" w:line="254" w:lineRule="auto" w:before="200"/>
      </w:pPr>
      <w:r>
        <w:rPr>
          <w:rFonts w:ascii="Times New Roman" w:hAnsi="Times New Roman"/>
        </w:rPr>
        <w:t>3 Laufzeit und Zustand</w:t>
      </w:r>
    </w:p>
    <w:p>
      <w:pPr>
        <w:widowControl/>
        <w:spacing w:after="120" w:line="254" w:lineRule="auto"/>
        <w:jc w:val="left"/>
      </w:pPr>
      <w:r>
        <w:rPr>
          <w:rFonts w:ascii="Times New Roman" w:hAnsi="Times New Roman"/>
          <w:color w:val="000000"/>
          <w:sz w:val="22"/>
        </w:rPr>
        <w:t>Das Mietverhältnis läuft auf unbestimmte Zeit. Die ordentliche Kündigung richtet sich nach den gesetzlichen Fristen für Geschäftsräume. Mängel sind unverzüglich anzuzeigen. Bei Übergabe waren Tore, Elektrik und Sanitärräume betriebsfähig. Das Protokoll weist keine Nutzungseinschränkung aus. Eine Kaution ist nicht vereinbart.</w:t>
      </w:r>
    </w:p>
    <w:p>
      <w:pPr>
        <w:spacing w:after="120" w:line="254" w:lineRule="auto"/>
      </w:pPr>
      <w:r>
        <w:t>Zur Ermöglichung der von der Mieterin vorgesehenen Betriebsmittel- und Objektfinanzierungen verzichtet die Vermieterin für die gesamte Vertragsdauer verbindlich auf das gesetzliche Vermieterpfandrecht an allen eingebrachten und künftig einzubringenden Sachen der Mieterin. Der Verzicht gilt unabhängig davon, ob im Einzelfall bereits eine Finanzierungssicherheit bestellt ist. Die Vermieterin wird finanzierenden Unternehmen auf Anforderung eine entsprechende Freigabebestätigung erteilen. Der Verzicht begründet weder einen zusätzlichen Zahlungsanspruch noch eine Kautionspflicht. Die Vermieterin hat diesen Verzicht bei der Vereinbarung der Miethöhe berücksichtigt.</w:t>
      </w:r>
    </w:p>
    <w:p>
      <w:pPr>
        <w:pStyle w:val="Heading2"/>
        <w:keepNext/>
        <w:widowControl/>
        <w:spacing w:after="140" w:line="254" w:lineRule="auto" w:before="200"/>
      </w:pPr>
      <w:r>
        <w:rPr>
          <w:rFonts w:ascii="Times New Roman" w:hAnsi="Times New Roman"/>
        </w:rPr>
        <w:t>4 Schlussregelung</w:t>
      </w:r>
    </w:p>
    <w:p>
      <w:pPr>
        <w:widowControl/>
        <w:spacing w:after="120" w:line="254" w:lineRule="auto"/>
        <w:jc w:val="left"/>
      </w:pPr>
      <w:r>
        <w:rPr>
          <w:rFonts w:ascii="Times New Roman" w:hAnsi="Times New Roman"/>
          <w:color w:val="000000"/>
          <w:sz w:val="22"/>
        </w:rPr>
        <w:t>Änderungen der Miete oder einer Leistungsstörung werden gesondert dokumentiert. Dieser Vertrag begründet keine besondere Rangvereinbarung für den Fall eines Insolvenzverfahrens. Weitere Nebenabreden bestehen nicht.</w:t>
      </w:r>
    </w:p>
    <w:p>
      <w:pPr>
        <w:widowControl/>
        <w:spacing w:after="120" w:line="254" w:lineRule="auto"/>
        <w:jc w:val="left"/>
      </w:pPr>
      <w:r>
        <w:rPr>
          <w:rFonts w:ascii="Times New Roman" w:hAnsi="Times New Roman"/>
          <w:color w:val="000000"/>
          <w:sz w:val="22"/>
        </w:rPr>
        <w:t>Für die Vermieterin: Bente Rasken, 01.02.2023.</w:t>
      </w:r>
    </w:p>
    <w:p>
      <w:pPr>
        <w:widowControl/>
        <w:spacing w:after="120" w:line="254" w:lineRule="auto"/>
        <w:jc w:val="left"/>
      </w:pPr>
      <w:r>
        <w:rPr>
          <w:rFonts w:ascii="Times New Roman" w:hAnsi="Times New Roman"/>
          <w:color w:val="000000"/>
          <w:sz w:val="22"/>
        </w:rPr>
        <w:t>Für die Mieterin: Jaron Feldek, 01.02.2023.</w:t>
      </w:r>
    </w:p>
    <w:p>
      <w:pPr>
        <w:widowControl/>
        <w:spacing w:after="120" w:line="254" w:lineRule="auto"/>
        <w:jc w:val="left"/>
      </w:pPr>
      <w:r>
        <w:rPr>
          <w:rFonts w:ascii="Times New Roman" w:hAnsi="Times New Roman"/>
          <w:color w:val="000000"/>
          <w:sz w:val="22"/>
        </w:rPr>
        <w:t>Bente Rasken,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Torwinkel Gewerbehöfe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Torwinkel Gewerbehöfe GmbH</w:t>
    </w:r>
  </w:p>
  <w:p>
    <w:pPr>
      <w:spacing w:after="60"/>
      <w:jc w:val="left"/>
      <w:pBdr>
        <w:bottom w:val="single" w:sz="6" w:space="2" w:color="11555F"/>
      </w:pBdr>
    </w:pPr>
    <w:r>
      <w:rPr>
        <w:rFonts w:ascii="Times New Roman" w:hAnsi="Times New Roman"/>
        <w:b w:val="0"/>
        <w:color w:val="000000"/>
        <w:sz w:val="16"/>
      </w:rPr>
      <w:t>Hofkontor 11, 51103 Köln | mieten@torwinkel.example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Gewerbemietvertrag und Dauerrechnung TG-230201</dc:title>
  <dc:subject>Rheinsteg Ausbau und Metalltechnik GmbH</dc:subject>
  <dc:creator>Torwinkel Gewerbehöfe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