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30.06.2026</w:t>
      </w:r>
    </w:p>
    <w:p>
      <w:pPr>
        <w:pStyle w:val="Title"/>
        <w:keepNext/>
        <w:widowControl/>
        <w:spacing w:after="240" w:line="254" w:lineRule="auto" w:before="160"/>
        <w:jc w:val="left"/>
      </w:pPr>
      <w:r>
        <w:rPr>
          <w:b/>
          <w:sz w:val="24"/>
        </w:rPr>
        <w:t>Mietkonto Montagehof 18; Debitor RS-4418</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wir übersenden den Stand Ihres Mietkontos zum 30.06.2026. Die Sollstellungen beruhen unverändert auf der Dauerrechnung TG-230201. Für die hier genannten Monate wurden keine Minderungen, Stundungen oder abweichenden Betriebskosten vereinbart.</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cantSplit/>
          <w:tblHeader/>
        </w:trPr>
        <w:tc>
          <w:tcPr>
            <w:tcW w:type="dxa" w:w="1814"/>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Monat</w:t>
            </w:r>
          </w:p>
        </w:tc>
        <w:tc>
          <w:tcPr>
            <w:tcW w:type="dxa" w:w="1814"/>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w:t>
            </w:r>
          </w:p>
        </w:tc>
        <w:tc>
          <w:tcPr>
            <w:tcW w:type="dxa" w:w="1814"/>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USt 19 %</w:t>
            </w:r>
          </w:p>
        </w:tc>
        <w:tc>
          <w:tcPr>
            <w:tcW w:type="dxa" w:w="1814"/>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Soll brutto</w:t>
            </w:r>
          </w:p>
        </w:tc>
        <w:tc>
          <w:tcPr>
            <w:tcW w:type="dxa" w:w="1814"/>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Zahlung</w:t>
            </w:r>
          </w:p>
        </w:tc>
      </w:tr>
      <w:tr>
        <w:trPr>
          <w:cantSplit/>
        </w:trPr>
        <w:tc>
          <w:tcPr>
            <w:tcW w:type="dxa" w:w="181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März 2026</w:t>
            </w:r>
          </w:p>
        </w:tc>
        <w:tc>
          <w:tcPr>
            <w:tcW w:type="dxa" w:w="181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4.800,00</w:t>
            </w:r>
          </w:p>
        </w:tc>
        <w:tc>
          <w:tcPr>
            <w:tcW w:type="dxa" w:w="181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912,00</w:t>
            </w:r>
          </w:p>
        </w:tc>
        <w:tc>
          <w:tcPr>
            <w:tcW w:type="dxa" w:w="181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5.712,00</w:t>
            </w:r>
          </w:p>
        </w:tc>
        <w:tc>
          <w:tcPr>
            <w:tcW w:type="dxa" w:w="181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w:t>
            </w:r>
          </w:p>
        </w:tc>
      </w:tr>
      <w:tr>
        <w:trPr>
          <w:cantSplit/>
        </w:trPr>
        <w:tc>
          <w:tcPr>
            <w:tcW w:type="dxa" w:w="181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April 2026</w:t>
            </w:r>
          </w:p>
        </w:tc>
        <w:tc>
          <w:tcPr>
            <w:tcW w:type="dxa" w:w="181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4.800,00</w:t>
            </w:r>
          </w:p>
        </w:tc>
        <w:tc>
          <w:tcPr>
            <w:tcW w:type="dxa" w:w="181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912,00</w:t>
            </w:r>
          </w:p>
        </w:tc>
        <w:tc>
          <w:tcPr>
            <w:tcW w:type="dxa" w:w="181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5.712,00</w:t>
            </w:r>
          </w:p>
        </w:tc>
        <w:tc>
          <w:tcPr>
            <w:tcW w:type="dxa" w:w="181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w:t>
            </w:r>
          </w:p>
        </w:tc>
      </w:tr>
      <w:tr>
        <w:trPr>
          <w:cantSplit/>
        </w:trPr>
        <w:tc>
          <w:tcPr>
            <w:tcW w:type="dxa" w:w="181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Mai 2026</w:t>
            </w:r>
          </w:p>
        </w:tc>
        <w:tc>
          <w:tcPr>
            <w:tcW w:type="dxa" w:w="181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4.800,00</w:t>
            </w:r>
          </w:p>
        </w:tc>
        <w:tc>
          <w:tcPr>
            <w:tcW w:type="dxa" w:w="181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912,00</w:t>
            </w:r>
          </w:p>
        </w:tc>
        <w:tc>
          <w:tcPr>
            <w:tcW w:type="dxa" w:w="181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5.712,00</w:t>
            </w:r>
          </w:p>
        </w:tc>
        <w:tc>
          <w:tcPr>
            <w:tcW w:type="dxa" w:w="181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5.712,00 am 08.05.</w:t>
            </w:r>
          </w:p>
        </w:tc>
      </w:tr>
      <w:tr>
        <w:trPr>
          <w:cantSplit/>
        </w:trPr>
        <w:tc>
          <w:tcPr>
            <w:tcW w:type="dxa" w:w="181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Juni 2026</w:t>
            </w:r>
          </w:p>
        </w:tc>
        <w:tc>
          <w:tcPr>
            <w:tcW w:type="dxa" w:w="181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4.800,00</w:t>
            </w:r>
          </w:p>
        </w:tc>
        <w:tc>
          <w:tcPr>
            <w:tcW w:type="dxa" w:w="181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912,00</w:t>
            </w:r>
          </w:p>
        </w:tc>
        <w:tc>
          <w:tcPr>
            <w:tcW w:type="dxa" w:w="181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5.712,00</w:t>
            </w:r>
          </w:p>
        </w:tc>
        <w:tc>
          <w:tcPr>
            <w:tcW w:type="dxa" w:w="181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5.712,00 am 05.06.</w:t>
            </w:r>
          </w:p>
        </w:tc>
      </w:tr>
    </w:tbl>
    <w:p>
      <w:pPr>
        <w:widowControl/>
        <w:spacing w:after="120" w:line="254" w:lineRule="auto"/>
        <w:jc w:val="left"/>
      </w:pPr>
      <w:r>
        <w:rPr>
          <w:rFonts w:ascii="Times New Roman" w:hAnsi="Times New Roman"/>
          <w:color w:val="000000"/>
          <w:sz w:val="22"/>
        </w:rPr>
        <w:t>Alle Beträge sind Eurobeträge. Der offene Saldo beträgt 11.424,00 EUR und betrifft die Monate März und April. Die Zahlungen für Mai und Juni trugen eine ausdrückliche Monatsbestimmung und wurden entsprechend zugeordnet. Aus den davorliegenden Monaten ist kein weiterer Saldo offen. Eine Kaution zur Verrechnung besteht nach dem Vertrag nicht.</w:t>
      </w:r>
    </w:p>
    <w:p>
      <w:pPr>
        <w:widowControl/>
        <w:spacing w:after="120" w:line="254" w:lineRule="auto"/>
        <w:jc w:val="left"/>
      </w:pPr>
      <w:r>
        <w:rPr>
          <w:rFonts w:ascii="Times New Roman" w:hAnsi="Times New Roman"/>
          <w:color w:val="000000"/>
          <w:sz w:val="22"/>
        </w:rPr>
        <w:t>Die Räume stehen Ihrer Gesellschaft weiterhin vollständig zur Verfügung. Eine Räumung oder Rückgabe ist nicht erfolgt. Ihre Buchhaltung hat am 26.06.2026 bestätigt, dass weder ein Mietmangel angezeigt noch eine Gegenforderung gebucht wurde. Diese Kontoaufstellung enthält keine Entgelte für Zeiträume nach dem 30.06.2026.</w:t>
      </w:r>
    </w:p>
    <w:p>
      <w:pPr>
        <w:widowControl/>
        <w:spacing w:after="120" w:line="254" w:lineRule="auto"/>
        <w:jc w:val="left"/>
      </w:pPr>
      <w:r>
        <w:rPr>
          <w:rFonts w:ascii="Times New Roman" w:hAnsi="Times New Roman"/>
          <w:color w:val="000000"/>
          <w:sz w:val="22"/>
        </w:rPr>
        <w:t>Bitte prüfen Sie die Zuordnung Ihrer Überweisungen. Einwendungen zum tatsächlichen Buchungsstand richten Sie unter Angabe des Zahlungsdatums und des Verwendungszwecks an unsere Buchhaltung. Mit dieser Kontoaufstellung werden keine zusätzlichen Mahnkosten verlangt.</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Bente Rasken, Geschäftsführerin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Torwinkel Gewerbehöfe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Torwinkel Gewerbehöfe GmbH</w:t>
    </w:r>
  </w:p>
  <w:p>
    <w:pPr>
      <w:spacing w:after="60"/>
      <w:jc w:val="left"/>
      <w:pBdr>
        <w:bottom w:val="single" w:sz="6" w:space="2" w:color="11555F"/>
      </w:pBdr>
    </w:pPr>
    <w:r>
      <w:rPr>
        <w:rFonts w:ascii="Times New Roman" w:hAnsi="Times New Roman"/>
        <w:b w:val="0"/>
        <w:color w:val="000000"/>
        <w:sz w:val="16"/>
      </w:rPr>
      <w:t>Hofkontor 11, 51103 Köln | mieten@torwinkel.example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Mietkonto Montagehof 18; Debitor RS-4418</dc:title>
  <dc:subject>Rheinsteg Ausbau und Metalltechnik GmbH</dc:subject>
  <dc:creator>Torwinkel Gewerbehöfe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