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15.01.2026</w:t>
      </w:r>
    </w:p>
    <w:p>
      <w:pPr>
        <w:pStyle w:val="Title"/>
        <w:keepNext/>
        <w:widowControl/>
        <w:spacing w:after="240" w:line="254" w:lineRule="auto" w:before="160"/>
        <w:jc w:val="left"/>
      </w:pPr>
      <w:r>
        <w:rPr>
          <w:b/>
          <w:sz w:val="24"/>
        </w:rPr>
        <w:t>Stromliefervertrag RL-2026-1048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bestätigen die Belieferung der Entnahmestelle Montagehof 18, 51149 Köln, Werkhalle und Büro, ab 01.02.2026. Vertragspartnerin ist die Rheinsteg Ausbau und Metalltechnik GmbH. Der Messpunkt wird unter der internen Zählernummer RL-774201 geführt.</w:t>
      </w:r>
    </w:p>
    <w:p>
      <w:pPr>
        <w:pStyle w:val="Heading2"/>
        <w:keepNext/>
        <w:widowControl/>
        <w:spacing w:after="140" w:line="254" w:lineRule="auto" w:before="200"/>
      </w:pPr>
      <w:r>
        <w:rPr>
          <w:rFonts w:ascii="Times New Roman" w:hAnsi="Times New Roman"/>
        </w:rPr>
        <w:t>1 Preis und Abrechnung</w:t>
      </w:r>
    </w:p>
    <w:p>
      <w:pPr>
        <w:widowControl/>
        <w:spacing w:after="120" w:line="254" w:lineRule="auto"/>
        <w:jc w:val="left"/>
      </w:pPr>
      <w:r>
        <w:rPr>
          <w:rFonts w:ascii="Times New Roman" w:hAnsi="Times New Roman"/>
          <w:color w:val="000000"/>
          <w:sz w:val="22"/>
        </w:rPr>
        <w:t>Der Arbeitspreis beträgt 0,28 EUR netto je kWh einschließlich der von uns abzurechnenden Netzentgelte und Umlagen. Der monatliche Grundpreis beträgt 80,00 EUR netto. Auf beide Positionen wird Umsatzsteuer in gesetzlicher Höhe, derzeit 19 Prozent, berechnet. Für die erste Abrechnungsperiode Februar bis April 2026 werden keine Abschläge erhoben; nach dem 30.04.2026 wird nach tatsächlichem Zählerstand abgerechnet. Die Rechnung ist 14 Tage nach Zugang fällig.</w:t>
      </w:r>
    </w:p>
    <w:p>
      <w:pPr>
        <w:pStyle w:val="Heading2"/>
        <w:keepNext/>
        <w:widowControl/>
        <w:spacing w:after="140" w:line="254" w:lineRule="auto" w:before="200"/>
      </w:pPr>
      <w:r>
        <w:rPr>
          <w:rFonts w:ascii="Times New Roman" w:hAnsi="Times New Roman"/>
        </w:rPr>
        <w:t>2 Messung und Zugang</w:t>
      </w:r>
    </w:p>
    <w:p>
      <w:pPr>
        <w:widowControl/>
        <w:spacing w:after="120" w:line="254" w:lineRule="auto"/>
        <w:jc w:val="left"/>
      </w:pPr>
      <w:r>
        <w:rPr>
          <w:rFonts w:ascii="Times New Roman" w:hAnsi="Times New Roman"/>
          <w:color w:val="000000"/>
          <w:sz w:val="22"/>
        </w:rPr>
        <w:t>Die Mieterin ermöglicht den Zugang zum Zählerraum. Anfangs- und Endstände werden nach gemeinsamer Ablesung schriftlich festgehalten. Bei einem Geräteaustausch ist der Ausbau- und Einbaustand getrennt zu protokollieren. Der bestehende Zähler ist geeicht; ein Wandlerfaktor ist bei der hier angezeigten kWh-Zählung nicht zusätzlich anzuwenden.</w:t>
      </w:r>
    </w:p>
    <w:p>
      <w:pPr>
        <w:pStyle w:val="Heading2"/>
        <w:keepNext/>
        <w:widowControl/>
        <w:spacing w:after="140" w:line="254" w:lineRule="auto" w:before="200"/>
      </w:pPr>
      <w:r>
        <w:rPr>
          <w:rFonts w:ascii="Times New Roman" w:hAnsi="Times New Roman"/>
        </w:rPr>
        <w:t>3 Laufzeit</w:t>
      </w:r>
    </w:p>
    <w:p>
      <w:pPr>
        <w:widowControl/>
        <w:spacing w:after="120" w:line="254" w:lineRule="auto"/>
        <w:jc w:val="left"/>
      </w:pPr>
      <w:r>
        <w:rPr>
          <w:rFonts w:ascii="Times New Roman" w:hAnsi="Times New Roman"/>
          <w:color w:val="000000"/>
          <w:sz w:val="22"/>
        </w:rPr>
        <w:t>Der Vertrag läuft zunächst bis 31.01.2027. Laufende Lieferungen werden nach dem ersten Quartalszeitraum monatlich abgerechnet. Die Umstellung verändert die bereits verbrauchten Energiemengen nicht. Eine Sicherheit, Vorauszahlung oder Kontoverrechnung mit fremden Vertragskonten ist nicht vereinbart.</w:t>
      </w:r>
    </w:p>
    <w:p>
      <w:pPr>
        <w:widowControl/>
        <w:spacing w:after="120" w:line="254" w:lineRule="auto"/>
        <w:jc w:val="left"/>
      </w:pPr>
      <w:r>
        <w:rPr>
          <w:rFonts w:ascii="Times New Roman" w:hAnsi="Times New Roman"/>
          <w:color w:val="000000"/>
          <w:sz w:val="22"/>
        </w:rPr>
        <w:t>Für Rheinlicht Energievertrieb GmbH: Tilo Mervel, 15.01.2026.</w:t>
      </w:r>
    </w:p>
    <w:p>
      <w:pPr>
        <w:widowControl/>
        <w:spacing w:after="120" w:line="254" w:lineRule="auto"/>
        <w:jc w:val="left"/>
      </w:pPr>
      <w:r>
        <w:rPr>
          <w:rFonts w:ascii="Times New Roman" w:hAnsi="Times New Roman"/>
          <w:color w:val="000000"/>
          <w:sz w:val="22"/>
        </w:rPr>
        <w:t>Vertrag angenommen: Jaron Feldek, 15.01.2026.</w:t>
      </w:r>
    </w:p>
    <w:p>
      <w:pPr>
        <w:widowControl/>
        <w:spacing w:after="120" w:line="254" w:lineRule="auto"/>
        <w:jc w:val="left"/>
      </w:pPr>
      <w:r>
        <w:rPr>
          <w:rFonts w:ascii="Times New Roman" w:hAnsi="Times New Roman"/>
          <w:color w:val="000000"/>
          <w:sz w:val="22"/>
        </w:rPr>
        <w:t>Tilo Mervel, Leiter Abrechnung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Rheinlicht Energievertrieb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Rheinlicht Energievertrieb GmbH</w:t>
    </w:r>
  </w:p>
  <w:p>
    <w:pPr>
      <w:spacing w:after="60"/>
      <w:jc w:val="left"/>
      <w:pBdr>
        <w:bottom w:val="single" w:sz="6" w:space="2" w:color="7B2D3B"/>
      </w:pBdr>
    </w:pPr>
    <w:r>
      <w:rPr>
        <w:rFonts w:ascii="Times New Roman" w:hAnsi="Times New Roman"/>
        <w:b w:val="0"/>
        <w:color w:val="000000"/>
        <w:sz w:val="16"/>
      </w:rPr>
      <w:t>Netzwerkring 9, 50829 Köln | forderung@rheinlicht.example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Stromliefervertrag RL-2026-1048</dc:title>
  <dc:subject>Rheinsteg Ausbau und Metalltechnik GmbH</dc:subject>
  <dc:creator>Rheinlicht Energievertrieb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