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22.04.2026</w:t>
      </w:r>
    </w:p>
    <w:p>
      <w:pPr>
        <w:pStyle w:val="Title"/>
        <w:keepNext/>
        <w:widowControl/>
        <w:spacing w:after="240" w:line="254" w:lineRule="auto" w:before="160"/>
        <w:jc w:val="left"/>
      </w:pPr>
      <w:r>
        <w:rPr>
          <w:b/>
          <w:sz w:val="24"/>
        </w:rPr>
        <w:t>Kaufmännische Gutschrift G-260422 zu Rechnung B-260331</w:t>
      </w:r>
    </w:p>
    <w:p>
      <w:pPr>
        <w:widowControl/>
        <w:spacing w:after="120" w:line="254" w:lineRule="auto"/>
        <w:jc w:val="left"/>
      </w:pPr>
      <w:r>
        <w:rPr>
          <w:rFonts w:ascii="Times New Roman" w:hAnsi="Times New Roman"/>
          <w:color w:val="000000"/>
          <w:sz w:val="22"/>
        </w:rPr>
        <w:t>Sehr geehrter Herr Feldek,</w:t>
      </w:r>
    </w:p>
    <w:p>
      <w:pPr>
        <w:widowControl/>
        <w:spacing w:after="120" w:line="254" w:lineRule="auto"/>
        <w:jc w:val="left"/>
      </w:pPr>
      <w:r>
        <w:rPr>
          <w:rFonts w:ascii="Times New Roman" w:hAnsi="Times New Roman"/>
          <w:color w:val="000000"/>
          <w:sz w:val="22"/>
        </w:rPr>
        <w:t>die am 21.04.2026 angelieferten unbenutzten Restmengen wurden in unserem Lager gezählt und ohne Beschädigung übernommen. Wir schreiben Ihrem Debitorenkonto RS-44018 die folgenden Beträge gut:</w:t>
      </w:r>
    </w:p>
    <w:tbl>
      <w:tblPr>
        <w:tblStyle w:val="TableGrid"/>
        <w:tblW w:type="auto" w:w="0"/>
        <w:jc w:val="center"/>
        <w:tblLayout w:type="fixed"/>
        <w:tblLook w:firstColumn="1" w:firstRow="1" w:lastColumn="0" w:lastRow="0" w:noHBand="0" w:noVBand="1" w:val="04A0"/>
      </w:tblPr>
      <w:tblGrid>
        <w:gridCol w:w="3969"/>
        <w:gridCol w:w="1701"/>
        <w:gridCol w:w="1701"/>
        <w:gridCol w:w="1701"/>
      </w:tblGrid>
      <w:tr>
        <w:trPr>
          <w:cantSplit/>
          <w:tblHeader/>
        </w:trPr>
        <w:tc>
          <w:tcPr>
            <w:tcW w:type="dxa" w:w="3969"/>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Rücknahme</w:t>
            </w:r>
          </w:p>
        </w:tc>
        <w:tc>
          <w:tcPr>
            <w:tcW w:type="dxa" w:w="1701"/>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Netto</w:t>
            </w:r>
          </w:p>
        </w:tc>
        <w:tc>
          <w:tcPr>
            <w:tcW w:type="dxa" w:w="1701"/>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USt 19 %</w:t>
            </w:r>
          </w:p>
        </w:tc>
        <w:tc>
          <w:tcPr>
            <w:tcW w:type="dxa" w:w="1701"/>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Brutto</w:t>
            </w:r>
          </w:p>
        </w:tc>
      </w:tr>
      <w:tr>
        <w:trPr>
          <w:cantSplit/>
        </w:trPr>
        <w:tc>
          <w:tcPr>
            <w:tcW w:type="dxa" w:w="39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20 Brandschutzplatten zu 45,00 EUR</w:t>
            </w:r>
          </w:p>
        </w:tc>
        <w:tc>
          <w:tcPr>
            <w:tcW w:type="dxa" w:w="170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900,00</w:t>
            </w:r>
          </w:p>
        </w:tc>
        <w:tc>
          <w:tcPr>
            <w:tcW w:type="dxa" w:w="170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171,00</w:t>
            </w:r>
          </w:p>
        </w:tc>
        <w:tc>
          <w:tcPr>
            <w:tcW w:type="dxa" w:w="170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1.071,00</w:t>
            </w:r>
          </w:p>
        </w:tc>
      </w:tr>
      <w:tr>
        <w:trPr>
          <w:cantSplit/>
        </w:trPr>
        <w:tc>
          <w:tcPr>
            <w:tcW w:type="dxa" w:w="39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5 Anschlussprofile zu 20,00 EUR</w:t>
            </w:r>
          </w:p>
        </w:tc>
        <w:tc>
          <w:tcPr>
            <w:tcW w:type="dxa" w:w="170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100,00</w:t>
            </w:r>
          </w:p>
        </w:tc>
        <w:tc>
          <w:tcPr>
            <w:tcW w:type="dxa" w:w="170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19,00</w:t>
            </w:r>
          </w:p>
        </w:tc>
        <w:tc>
          <w:tcPr>
            <w:tcW w:type="dxa" w:w="170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119,00</w:t>
            </w:r>
          </w:p>
        </w:tc>
      </w:tr>
      <w:tr>
        <w:trPr>
          <w:cantSplit/>
        </w:trPr>
        <w:tc>
          <w:tcPr>
            <w:tcW w:type="dxa" w:w="39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Gesamt in EUR</w:t>
            </w:r>
          </w:p>
        </w:tc>
        <w:tc>
          <w:tcPr>
            <w:tcW w:type="dxa" w:w="170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1.000,00</w:t>
            </w:r>
          </w:p>
        </w:tc>
        <w:tc>
          <w:tcPr>
            <w:tcW w:type="dxa" w:w="170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190,00</w:t>
            </w:r>
          </w:p>
        </w:tc>
        <w:tc>
          <w:tcPr>
            <w:tcW w:type="dxa" w:w="170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1.190,00</w:t>
            </w:r>
          </w:p>
        </w:tc>
      </w:tr>
    </w:tbl>
    <w:p>
      <w:pPr>
        <w:widowControl/>
        <w:spacing w:after="120" w:line="254" w:lineRule="auto"/>
        <w:jc w:val="left"/>
      </w:pPr>
      <w:r>
        <w:rPr>
          <w:rFonts w:ascii="Times New Roman" w:hAnsi="Times New Roman"/>
          <w:color w:val="000000"/>
          <w:sz w:val="22"/>
        </w:rPr>
        <w:t>Die Korrektur betrifft ausschließlich die Rechnung B-260331 vom 31.03.2026. Die Umsatzsteuer wird entsprechend um 190,00 EUR berichtigt. Es handelt sich um eine Rechnungskorrektur des Lieferanten, nicht um eine Abrechnung durch den Leistungsempfänger. Der ursprüngliche Transport- und Entladungspreis wird nicht verändert.</w:t>
      </w:r>
    </w:p>
    <w:p>
      <w:pPr>
        <w:widowControl/>
        <w:spacing w:after="120" w:line="254" w:lineRule="auto"/>
        <w:jc w:val="left"/>
      </w:pPr>
      <w:r>
        <w:rPr>
          <w:rFonts w:ascii="Times New Roman" w:hAnsi="Times New Roman"/>
          <w:color w:val="000000"/>
          <w:sz w:val="22"/>
        </w:rPr>
        <w:t>Der Betrag wird mit dem offenen Debitorenposten verrechnet und nicht bar ausgezahlt. Weitere Rücknahmen zu dieser Rechnung liegen uns nicht vor. Für spätere Neubestellungen wird diese Gutschrift nicht verwendet. Auf Ihrem Konto ist die Belegnummer G-260422 als Bezug zur Ursprungsrechnung hinterlegt.</w:t>
      </w:r>
    </w:p>
    <w:p>
      <w:pPr>
        <w:widowControl/>
        <w:spacing w:after="120" w:line="254" w:lineRule="auto"/>
        <w:jc w:val="left"/>
      </w:pPr>
      <w:r>
        <w:rPr>
          <w:rFonts w:ascii="Times New Roman" w:hAnsi="Times New Roman"/>
          <w:color w:val="000000"/>
          <w:sz w:val="22"/>
        </w:rPr>
        <w:t>Die Übernahme wurde am 21.04.2026 durch unseren Lagerleiter Levin Merkow und Ihren Mitarbeiter Gero Tannert quittiert. Die Buchung wurde heute durch die Debitorenabteilung freigegeben.</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Nora Tavren, Leitung Buchhaltung</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Baukontor Elsterfeld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Baukontor Elsterfeld GmbH</w:t>
    </w:r>
  </w:p>
  <w:p>
    <w:pPr>
      <w:spacing w:after="60"/>
      <w:jc w:val="left"/>
      <w:pBdr>
        <w:bottom w:val="single" w:sz="6" w:space="2" w:color="2C5230"/>
      </w:pBdr>
    </w:pPr>
    <w:r>
      <w:rPr>
        <w:rFonts w:ascii="Times New Roman" w:hAnsi="Times New Roman"/>
        <w:b w:val="0"/>
        <w:color w:val="000000"/>
        <w:sz w:val="16"/>
      </w:rPr>
      <w:t>Speicherbogen 26, 51149 Köln | debitoren@elsterfeld.example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Kaufmännische Gutschrift G-260422 zu Rechnung B-260331</dc:title>
  <dc:subject>Rheinsteg Ausbau und Metalltechnik GmbH</dc:subject>
  <dc:creator>Baukontor Elsterfeld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