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08.01.2025</w:t>
      </w:r>
    </w:p>
    <w:p>
      <w:pPr>
        <w:pStyle w:val="Title"/>
        <w:keepNext/>
        <w:widowControl/>
        <w:spacing w:after="240" w:line="254" w:lineRule="auto" w:before="160"/>
        <w:jc w:val="left"/>
      </w:pPr>
      <w:r>
        <w:rPr>
          <w:b/>
          <w:sz w:val="24"/>
        </w:rPr>
        <w:t>Betriebsmitteldarlehen und Sicherungsvereinbarung BF-250108</w:t>
      </w:r>
    </w:p>
    <w:p>
      <w:pPr>
        <w:widowControl/>
        <w:spacing w:after="120" w:line="254" w:lineRule="auto"/>
        <w:jc w:val="left"/>
      </w:pPr>
      <w:r>
        <w:rPr>
          <w:rFonts w:ascii="Times New Roman" w:hAnsi="Times New Roman"/>
          <w:color w:val="000000"/>
          <w:sz w:val="22"/>
        </w:rPr>
        <w:t>Zwischen der Brückenbogen Objektfinanz GmbH als Darlehensgeberin und der Rheinsteg Ausbau und Metalltechnik GmbH als Darlehensnehmerin wird Folgendes vereinbart.</w:t>
      </w:r>
    </w:p>
    <w:p>
      <w:pPr>
        <w:pStyle w:val="Heading2"/>
        <w:keepNext/>
        <w:widowControl/>
        <w:spacing w:after="140" w:line="254" w:lineRule="auto" w:before="200"/>
      </w:pPr>
      <w:r>
        <w:rPr>
          <w:rFonts w:ascii="Times New Roman" w:hAnsi="Times New Roman"/>
        </w:rPr>
        <w:t>1 Darlehen und Tilgung</w:t>
      </w:r>
    </w:p>
    <w:p>
      <w:pPr>
        <w:widowControl/>
        <w:spacing w:after="120" w:line="254" w:lineRule="auto"/>
        <w:jc w:val="left"/>
      </w:pPr>
      <w:r>
        <w:rPr>
          <w:rFonts w:ascii="Times New Roman" w:hAnsi="Times New Roman"/>
          <w:color w:val="000000"/>
          <w:sz w:val="22"/>
        </w:rPr>
        <w:t>Die Darlehensgeberin stellt 60.000,00 EUR zur Finanzierung des Umlaufvermögens bereit. Die Auszahlung erfolgt am 10.01.2025 auf das Betriebskonto 1237400. Das Darlehen wird mit 6 Prozent jährlich auf den jeweiligen ausstehenden Betrag verzinst. Zinsen werden gesondert quartalsweise abgerechnet. Sondertilgungen sind ohne Vorfälligkeitsentgelt zulässig. Die Darlehensgeberin kann mit einer Frist von einem Monat zum Monatsende kündigen.</w:t>
      </w:r>
    </w:p>
    <w:p>
      <w:pPr>
        <w:pStyle w:val="Heading2"/>
        <w:keepNext/>
        <w:widowControl/>
        <w:spacing w:after="140" w:line="254" w:lineRule="auto" w:before="200"/>
      </w:pPr>
      <w:r>
        <w:rPr>
          <w:rFonts w:ascii="Times New Roman" w:hAnsi="Times New Roman"/>
        </w:rPr>
        <w:t>2 Sicherungsabtretung</w:t>
      </w:r>
    </w:p>
    <w:p>
      <w:pPr>
        <w:widowControl/>
        <w:spacing w:after="120" w:line="254" w:lineRule="auto"/>
        <w:jc w:val="left"/>
      </w:pPr>
      <w:r>
        <w:rPr>
          <w:rFonts w:ascii="Times New Roman" w:hAnsi="Times New Roman"/>
          <w:color w:val="000000"/>
          <w:sz w:val="22"/>
        </w:rPr>
        <w:t>Zur Sicherung ausschließlich der Ansprüche aus diesem Darlehen tritt die Darlehensnehmerin ihre Werklohnforderung gegen die Gewerbepark Veltengrund GmbH aus dem Auftrag VG-241210, zweiter Bauabschnitt, ab. Die konkret bezeichnete Abschlagsforderung beträgt nominal 20.000,00 EUR. Andere Forderungen aus demselben Bauvorhaben sind nicht einbezogen. Die Darlehensgeberin nimmt die Abtretung an. Die Darlehensnehmerin versichert, die bezeichnete Forderung nicht zuvor abgetreten zu haben.</w:t>
      </w:r>
    </w:p>
    <w:p>
      <w:pPr>
        <w:widowControl/>
        <w:spacing w:after="120" w:line="254" w:lineRule="auto"/>
        <w:jc w:val="left"/>
      </w:pPr>
      <w:r>
        <w:rPr>
          <w:rFonts w:ascii="Times New Roman" w:hAnsi="Times New Roman"/>
          <w:color w:val="000000"/>
          <w:sz w:val="22"/>
        </w:rPr>
        <w:t>Die Sicherheit dient der Befriedigung der jeweils offenen Darlehensforderung einschließlich vereinbarter Zinsen. Ein über den gesicherten Betrag hinausgehender Erlös ist herauszugeben. Solange kein Sicherungsfall besteht, darf die Darlehensnehmerin die Forderung im eigenen Namen einziehen. Nach wirksamer Kündigung darf die Darlehensgeberin die Abtretung offenlegen und Zahlung auf ihr Geschäftskonto verlangen. Eine Zahlung des Drittschuldners ist auf den tatsächlich offenen Darlehensbetrag anzurechnen.</w:t>
      </w:r>
    </w:p>
    <w:p>
      <w:pPr>
        <w:pStyle w:val="Heading2"/>
        <w:keepNext/>
        <w:widowControl/>
        <w:spacing w:after="140" w:line="254" w:lineRule="auto" w:before="200"/>
      </w:pPr>
      <w:r>
        <w:rPr>
          <w:rFonts w:ascii="Times New Roman" w:hAnsi="Times New Roman"/>
        </w:rPr>
        <w:t>3 Nachweise und Freigabe</w:t>
      </w:r>
    </w:p>
    <w:p>
      <w:pPr>
        <w:widowControl/>
        <w:spacing w:after="120" w:line="254" w:lineRule="auto"/>
        <w:jc w:val="left"/>
      </w:pPr>
      <w:r>
        <w:rPr>
          <w:rFonts w:ascii="Times New Roman" w:hAnsi="Times New Roman"/>
          <w:color w:val="000000"/>
          <w:sz w:val="22"/>
        </w:rPr>
        <w:t>Die Darlehensnehmerin hat Leistungsnachweise, Rechnung und Kundenkorrespondenz zur bezeichneten Forderung vorzulegen. Einwendungen des Kunden sind unverzüglich mitzuteilen. Die Darlehensgeberin garantiert keinen bestimmten Verwertungserlös. Nach vollständiger Tilgung werden die Sicherungsrechte freigegeben. Weitere Sicherheiten oder persönliche Bürgschaften werden nicht vereinbart.</w:t>
      </w:r>
    </w:p>
    <w:p>
      <w:pPr>
        <w:widowControl/>
        <w:spacing w:after="120" w:line="254" w:lineRule="auto"/>
        <w:jc w:val="left"/>
      </w:pPr>
      <w:r>
        <w:rPr>
          <w:rFonts w:ascii="Times New Roman" w:hAnsi="Times New Roman"/>
          <w:color w:val="000000"/>
          <w:sz w:val="22"/>
        </w:rPr>
        <w:t>Oskar Nelven, Brückenbogen Objektfinanz GmbH, 08.01.2025.</w:t>
      </w:r>
    </w:p>
    <w:p>
      <w:pPr>
        <w:widowControl/>
        <w:spacing w:after="120" w:line="254" w:lineRule="auto"/>
        <w:jc w:val="left"/>
      </w:pPr>
      <w:r>
        <w:rPr>
          <w:rFonts w:ascii="Times New Roman" w:hAnsi="Times New Roman"/>
          <w:color w:val="000000"/>
          <w:sz w:val="22"/>
        </w:rPr>
        <w:t>Jaron Feldek, Rheinsteg Ausbau und Metalltechnik GmbH, 08.01.2025.</w:t>
      </w:r>
    </w:p>
    <w:p>
      <w:pPr>
        <w:widowControl/>
        <w:spacing w:after="120" w:line="254" w:lineRule="auto"/>
        <w:jc w:val="left"/>
      </w:pPr>
      <w:r>
        <w:rPr>
          <w:rFonts w:ascii="Times New Roman" w:hAnsi="Times New Roman"/>
          <w:color w:val="000000"/>
          <w:sz w:val="22"/>
        </w:rPr>
        <w:t>Oskar Nelven,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Brückenbogen Objektfinanz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Brückenbogen Objektfinanz GmbH</w:t>
    </w:r>
  </w:p>
  <w:p>
    <w:pPr>
      <w:spacing w:after="60"/>
      <w:jc w:val="left"/>
      <w:pBdr>
        <w:bottom w:val="single" w:sz="6" w:space="2" w:color="3B3F45"/>
      </w:pBdr>
    </w:pPr>
    <w:r>
      <w:rPr>
        <w:rFonts w:ascii="Times New Roman" w:hAnsi="Times New Roman"/>
        <w:b w:val="0"/>
        <w:color w:val="000000"/>
        <w:sz w:val="16"/>
      </w:rPr>
      <w:t>Kapitalhof 3, 50679 Köln | service@brueckenbogen-finanz.example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Betriebsmitteldarlehen und Sicherungsvereinbarung BF-250108</dc:title>
  <dc:subject>Rheinsteg Ausbau und Metalltechnik GmbH</dc:subject>
  <dc:creator>Brückenbogen Objektfinanz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