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30.04.2026</w:t>
      </w:r>
    </w:p>
    <w:p>
      <w:pPr>
        <w:pStyle w:val="Title"/>
        <w:keepNext/>
        <w:widowControl/>
        <w:spacing w:after="240" w:line="254" w:lineRule="auto" w:before="160"/>
        <w:jc w:val="left"/>
      </w:pPr>
      <w:r>
        <w:rPr>
          <w:b/>
          <w:sz w:val="24"/>
        </w:rPr>
        <w:t>Kontobestätigung BF-250108 und Fälligstellung</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wir bestätigen den Stand des Betriebsmitteldarlehens BF-250108. Die am 27.03.2026 zugegangene Kündigung vom 26.03.2026 beendet die Laufzeit zum heutigen Monatsende. Die Rückzahlung des nachstehenden Nennbetrags ist heute fällig.</w:t>
      </w:r>
    </w:p>
    <w:tbl>
      <w:tblPr>
        <w:tblStyle w:val="TableGrid"/>
        <w:tblW w:type="auto" w:w="0"/>
        <w:jc w:val="center"/>
        <w:tblLayout w:type="fixed"/>
        <w:tblLook w:firstColumn="1" w:firstRow="1" w:lastColumn="0" w:lastRow="0" w:noHBand="0" w:noVBand="1" w:val="04A0"/>
      </w:tblPr>
      <w:tblGrid>
        <w:gridCol w:w="1361"/>
        <w:gridCol w:w="3969"/>
        <w:gridCol w:w="1871"/>
        <w:gridCol w:w="1871"/>
      </w:tblGrid>
      <w:tr>
        <w:trPr>
          <w:cantSplit/>
          <w:tblHeader/>
        </w:trPr>
        <w:tc>
          <w:tcPr>
            <w:tcW w:type="dxa" w:w="136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Datum</w:t>
            </w:r>
          </w:p>
        </w:tc>
        <w:tc>
          <w:tcPr>
            <w:tcW w:type="dxa" w:w="39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Buchung</w:t>
            </w:r>
          </w:p>
        </w:tc>
        <w:tc>
          <w:tcPr>
            <w:tcW w:type="dxa" w:w="187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Kapitalveränderung</w:t>
            </w:r>
          </w:p>
        </w:tc>
        <w:tc>
          <w:tcPr>
            <w:tcW w:type="dxa" w:w="187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Kapitalsaldo</w:t>
            </w:r>
          </w:p>
        </w:tc>
      </w:tr>
      <w:tr>
        <w:trPr>
          <w:cantSplit/>
        </w:trPr>
        <w:tc>
          <w:tcPr>
            <w:tcW w:type="dxa" w:w="136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10.01.2025</w:t>
            </w:r>
          </w:p>
        </w:tc>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Auszahlung an Betriebskonto 1237400</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+60.000,00 EUR</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60.000,00 EUR</w:t>
            </w:r>
          </w:p>
        </w:tc>
      </w:tr>
      <w:tr>
        <w:trPr>
          <w:cantSplit/>
        </w:trPr>
        <w:tc>
          <w:tcPr>
            <w:tcW w:type="dxa" w:w="136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30.09.2025</w:t>
            </w:r>
          </w:p>
        </w:tc>
        <w:tc>
          <w:tcPr>
            <w:tcW w:type="dxa" w:w="39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Sondertilgung</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-6.000,00 EUR</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54.000,00 EUR</w:t>
            </w:r>
          </w:p>
        </w:tc>
      </w:tr>
      <w:tr>
        <w:trPr>
          <w:cantSplit/>
        </w:trPr>
        <w:tc>
          <w:tcPr>
            <w:tcW w:type="dxa" w:w="136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31.12.2025</w:t>
            </w:r>
          </w:p>
        </w:tc>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Sondertilgung</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-6.000,00 EUR</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48.000,00 EUR</w:t>
            </w:r>
          </w:p>
        </w:tc>
      </w:tr>
      <w:tr>
        <w:trPr>
          <w:cantSplit/>
        </w:trPr>
        <w:tc>
          <w:tcPr>
            <w:tcW w:type="dxa" w:w="136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30.04.2026</w:t>
            </w:r>
          </w:p>
        </w:tc>
        <w:tc>
          <w:tcPr>
            <w:tcW w:type="dxa" w:w="39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Kündigungsstichtag</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48.000,00 EUR</w:t>
            </w:r>
          </w:p>
        </w:tc>
      </w:tr>
    </w:tbl>
    <w:p>
      <w:pPr>
        <w:widowControl/>
        <w:spacing w:after="120" w:line="254" w:lineRule="auto"/>
        <w:jc w:val="left"/>
      </w:pPr>
      <w:r>
        <w:rPr>
          <w:rFonts w:ascii="Times New Roman" w:hAnsi="Times New Roman"/>
          <w:color w:val="000000"/>
          <w:sz w:val="22"/>
        </w:rPr>
        <w:t>Die Auszahlung ist unter Bankreferenz BF-250110-60 bestätigt. Die beiden Tilgungen gingen ohne Vorbehalt ein und wurden auf das Kapital gebucht. Es gibt keine weiteren Kapitalbewegungen. Alle vertraglichen Zinsen bis zum 30.04.2026 sind durch die separat gebuchten Zinszahlungen ausgeglichen. Für den Zeitraum 01.05. bis 30.06.2026 verzichten wir verbindlich auf weitere vertragliche Zinsen und Verzugszinsen; die Kapitalforderung wird dadurch nicht gestundet.</w:t>
      </w:r>
    </w:p>
    <w:p>
      <w:pPr>
        <w:widowControl/>
        <w:spacing w:after="120" w:line="254" w:lineRule="auto"/>
        <w:jc w:val="left"/>
      </w:pPr>
      <w:r>
        <w:rPr>
          <w:rFonts w:ascii="Times New Roman" w:hAnsi="Times New Roman"/>
          <w:color w:val="000000"/>
          <w:sz w:val="22"/>
        </w:rPr>
        <w:t>Wir haben die Sicherungsabtretung am 28.04.2026 gegenüber der Gewerbepark Veltengrund GmbH offengelegt. Die nominale Kundenforderung beträgt 20.000,00 EUR. Ein Zahlungseingang aus dieser Sicherheit liegt nicht vor. Die Offenlegung ersetzt keine Verwertung und wird nicht als Tilgung gebucht. Die Sicherheit wird nicht freigegeben.</w:t>
      </w:r>
    </w:p>
    <w:p>
      <w:pPr>
        <w:widowControl/>
        <w:spacing w:after="120" w:line="254" w:lineRule="auto"/>
        <w:jc w:val="left"/>
      </w:pPr>
      <w:r>
        <w:rPr>
          <w:rFonts w:ascii="Times New Roman" w:hAnsi="Times New Roman"/>
          <w:color w:val="000000"/>
          <w:sz w:val="22"/>
        </w:rPr>
        <w:t>Bitte teilen Sie vor einer Verfügung über die bezeichnete Forderung den Verwendungszweck und den vorgesehenen Zahlungsempfänger mit. Eine anderweitige Einziehungsermächtigung für diese Forderung besteht seit Offenlegung nicht mehr.</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Oskar Nelven, Geschäftsführer</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Brückenbogen Objektfinanz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Brückenbogen Objektfinanz GmbH</w:t>
    </w:r>
  </w:p>
  <w:p>
    <w:pPr>
      <w:spacing w:after="60"/>
      <w:jc w:val="left"/>
      <w:pBdr>
        <w:bottom w:val="single" w:sz="6" w:space="2" w:color="3B3F45"/>
      </w:pBdr>
    </w:pPr>
    <w:r>
      <w:rPr>
        <w:rFonts w:ascii="Times New Roman" w:hAnsi="Times New Roman"/>
        <w:b w:val="0"/>
        <w:color w:val="000000"/>
        <w:sz w:val="16"/>
      </w:rPr>
      <w:t>Kapitalhof 3, 50679 Köln | service@brueckenbogen-finanz.example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Kontobestätigung BF-250108 und Fälligstellung</dc:title>
  <dc:subject>Rheinsteg Ausbau und Metalltechnik GmbH</dc:subject>
  <dc:creator>Brückenbogen Objektfinanz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