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Rheinsteg Ausbau und Metalltechnik GmbH</w:t>
      </w:r>
    </w:p>
    <w:p>
      <w:pPr>
        <w:widowControl/>
        <w:spacing w:after="60" w:line="254" w:lineRule="auto"/>
        <w:jc w:val="left"/>
      </w:pPr>
      <w:r>
        <w:rPr>
          <w:rFonts w:ascii="Times New Roman" w:hAnsi="Times New Roman"/>
          <w:color w:val="000000"/>
          <w:sz w:val="22"/>
        </w:rPr>
        <w:t>Montagehof 18, 51149 Köln</w:t>
      </w:r>
    </w:p>
    <w:p>
      <w:pPr>
        <w:widowControl/>
        <w:spacing w:after="60" w:line="254" w:lineRule="auto"/>
        <w:jc w:val="left"/>
      </w:pPr>
      <w:r>
        <w:rPr>
          <w:rFonts w:ascii="Times New Roman" w:hAnsi="Times New Roman"/>
          <w:color w:val="000000"/>
          <w:sz w:val="22"/>
        </w:rPr>
        <w:t>Datum: 20.05.2026</w:t>
      </w:r>
    </w:p>
    <w:p>
      <w:pPr>
        <w:pStyle w:val="Title"/>
        <w:keepNext/>
        <w:widowControl/>
        <w:spacing w:after="240" w:line="254" w:lineRule="auto" w:before="160"/>
        <w:jc w:val="left"/>
      </w:pPr>
      <w:r>
        <w:rPr>
          <w:b/>
          <w:sz w:val="24"/>
        </w:rPr>
        <w:t>Kaufvertrag HS-42 / Auftrag HS-260520</w:t>
      </w:r>
    </w:p>
    <w:p>
      <w:pPr>
        <w:widowControl/>
        <w:spacing w:after="120" w:line="254" w:lineRule="auto"/>
        <w:jc w:val="left"/>
      </w:pPr>
      <w:r>
        <w:rPr>
          <w:rFonts w:ascii="Times New Roman" w:hAnsi="Times New Roman"/>
          <w:color w:val="000000"/>
          <w:sz w:val="22"/>
        </w:rPr>
        <w:t>Zwischen der Hubwerk Sennfeld GmbH als Verkäuferin und der Rheinsteg Ausbau und Metalltechnik GmbH als Käuferin wird folgender Kaufvertrag geschlossen.</w:t>
      </w:r>
    </w:p>
    <w:p>
      <w:pPr>
        <w:pStyle w:val="Heading2"/>
        <w:keepNext/>
        <w:widowControl/>
        <w:spacing w:after="140" w:line="254" w:lineRule="auto" w:before="200"/>
      </w:pPr>
      <w:r>
        <w:rPr>
          <w:rFonts w:ascii="Times New Roman" w:hAnsi="Times New Roman"/>
        </w:rPr>
        <w:t>1 Kaufgegenstand und Preis</w:t>
      </w:r>
    </w:p>
    <w:p>
      <w:pPr>
        <w:widowControl/>
        <w:spacing w:after="120" w:line="254" w:lineRule="auto"/>
        <w:jc w:val="left"/>
      </w:pPr>
      <w:r>
        <w:rPr>
          <w:rFonts w:ascii="Times New Roman" w:hAnsi="Times New Roman"/>
          <w:color w:val="000000"/>
          <w:sz w:val="22"/>
        </w:rPr>
        <w:t>Die Verkäuferin liefert eine elektrohydraulische Hebebühne HS-42 mit 4,2 t Tragfähigkeit, Seriennummer HS42-260615-07. Lieferung, Aufstellung und Einweisung in Halle 2 am Montagehof 18 sind im Festpreis von 20.000,00 EUR netto enthalten. Hinzu kommen 3.800,00 EUR Umsatzsteuer zu 19 Prozent. Der Gesamtpreis beträgt 23.800,00 EUR. Die Übergabe erfolgt am 15.06.2026; der Gesamtpreis ist am 29.06.2026 fällig. Es ist keine Anzahlung vereinbart.</w:t>
      </w:r>
    </w:p>
    <w:p>
      <w:pPr>
        <w:pStyle w:val="Heading2"/>
        <w:keepNext/>
        <w:widowControl/>
        <w:spacing w:after="140" w:line="254" w:lineRule="auto" w:before="200"/>
      </w:pPr>
      <w:r>
        <w:rPr>
          <w:rFonts w:ascii="Times New Roman" w:hAnsi="Times New Roman"/>
        </w:rPr>
        <w:t>2 Eigentum und Nutzung</w:t>
      </w:r>
    </w:p>
    <w:p>
      <w:pPr>
        <w:widowControl/>
        <w:spacing w:after="120" w:line="254" w:lineRule="auto"/>
        <w:jc w:val="left"/>
      </w:pPr>
      <w:r>
        <w:rPr>
          <w:rFonts w:ascii="Times New Roman" w:hAnsi="Times New Roman"/>
          <w:color w:val="000000"/>
          <w:sz w:val="22"/>
        </w:rPr>
        <w:t>Die Hebebühne bleibt bis zur vollständigen Zahlung des Kaufpreises Eigentum der Verkäuferin. Es handelt sich um einen einfachen Eigentumsvorbehalt ausschließlich für den Preis dieser Maschine. Andere Forderungen und ein verlängerter Eigentumsvorbehalt werden nicht einbezogen. Die Käuferin darf die Bühne bestimmungsgemäß in ihrem Betrieb nutzen, muss sie warten und darf sie vor vollständiger Zahlung nicht veräußern oder sicherungsübereignen.</w:t>
      </w:r>
    </w:p>
    <w:p>
      <w:pPr>
        <w:pStyle w:val="Heading2"/>
        <w:keepNext/>
        <w:widowControl/>
        <w:spacing w:after="140" w:line="254" w:lineRule="auto" w:before="200"/>
      </w:pPr>
      <w:r>
        <w:rPr>
          <w:rFonts w:ascii="Times New Roman" w:hAnsi="Times New Roman"/>
        </w:rPr>
        <w:t>3 Übergabe und Gewährleistung</w:t>
      </w:r>
    </w:p>
    <w:p>
      <w:pPr>
        <w:widowControl/>
        <w:spacing w:after="120" w:line="254" w:lineRule="auto"/>
        <w:jc w:val="left"/>
      </w:pPr>
      <w:r>
        <w:rPr>
          <w:rFonts w:ascii="Times New Roman" w:hAnsi="Times New Roman"/>
          <w:color w:val="000000"/>
          <w:sz w:val="22"/>
        </w:rPr>
        <w:t>Die Parteien erstellen bei Übergabe ein Funktionsprotokoll. Mängel sind unverzüglich mitzuteilen. Die gesetzliche Gewährleistung wird nicht ausgeschlossen. Die Verkäuferin stellt Bedienungsanleitung, Wartungsplan und Konformitätsunterlagen bereit. Außergewöhnliche Nutzung oder ein Standortwechsel sind vorab anzuzeigen. Ein gesonderter Mietvertrag oder ein pauschales Nutzungsentgelt wird nicht vereinbart.</w:t>
      </w:r>
    </w:p>
    <w:p>
      <w:pPr>
        <w:pStyle w:val="Heading2"/>
        <w:keepNext/>
        <w:widowControl/>
        <w:spacing w:after="140" w:line="254" w:lineRule="auto" w:before="200"/>
      </w:pPr>
      <w:r>
        <w:rPr>
          <w:rFonts w:ascii="Times New Roman" w:hAnsi="Times New Roman"/>
        </w:rPr>
        <w:t>4 Bestellung während des Eröffnungsverfahrens</w:t>
      </w:r>
    </w:p>
    <w:p>
      <w:pPr>
        <w:widowControl/>
        <w:spacing w:after="120" w:line="254" w:lineRule="auto"/>
        <w:jc w:val="left"/>
      </w:pPr>
      <w:r>
        <w:rPr>
          <w:rFonts w:ascii="Times New Roman" w:hAnsi="Times New Roman"/>
          <w:color w:val="000000"/>
          <w:sz w:val="22"/>
        </w:rPr>
        <w:t>Die Käuferin handelt weiterhin durch ihren Geschäftsführer. Der Verkäuferin ist die vorläufige Verwaltung mit Zustimmungsvorbehalt bekannt. Dieser Maschinenkauf ist weder die Bestellung NB-0513 noch NB-0514 oder NB-0515 und wird nicht auf die gerichtliche Einzelermächtigung vom 12.05.2026 gestützt. Die Zustimmung der vorläufigen Verwalterin wird ausschließlich als Zustimmung zur Verpflichtung und Verfügung der Schuldnerin erteilt; eine allgemeine Haftungszusage für eine spätere Masse wird nicht erklärt.</w:t>
      </w:r>
    </w:p>
    <w:p>
      <w:pPr>
        <w:widowControl/>
        <w:spacing w:after="120" w:line="254" w:lineRule="auto"/>
        <w:jc w:val="left"/>
      </w:pPr>
      <w:r>
        <w:rPr>
          <w:rFonts w:ascii="Times New Roman" w:hAnsi="Times New Roman"/>
          <w:color w:val="000000"/>
          <w:sz w:val="22"/>
        </w:rPr>
        <w:t>Tessa Varnow für Hubwerk Sennfeld GmbH, 20.05.2026.</w:t>
      </w:r>
    </w:p>
    <w:p>
      <w:pPr>
        <w:widowControl/>
        <w:spacing w:after="120" w:line="254" w:lineRule="auto"/>
        <w:jc w:val="left"/>
      </w:pPr>
      <w:r>
        <w:rPr>
          <w:rFonts w:ascii="Times New Roman" w:hAnsi="Times New Roman"/>
          <w:color w:val="000000"/>
          <w:sz w:val="22"/>
        </w:rPr>
        <w:t>Jaron Feldek für Rheinsteg Ausbau und Metalltechnik GmbH, 20.05.2026.</w:t>
      </w:r>
    </w:p>
    <w:p>
      <w:pPr>
        <w:widowControl/>
        <w:spacing w:after="120" w:line="254" w:lineRule="auto"/>
        <w:jc w:val="left"/>
      </w:pPr>
      <w:r>
        <w:rPr>
          <w:rFonts w:ascii="Times New Roman" w:hAnsi="Times New Roman"/>
          <w:color w:val="000000"/>
          <w:sz w:val="22"/>
        </w:rPr>
        <w:t>Zustimmung im vorstehenden begrenzten Umfang: Dr. Malin Tervens, vorläufige Insolvenzverwalterin, 20.05.2026.</w:t>
      </w:r>
    </w:p>
    <w:p>
      <w:pPr>
        <w:widowControl/>
        <w:spacing w:after="120" w:line="254" w:lineRule="auto"/>
        <w:jc w:val="left"/>
      </w:pPr>
      <w:r>
        <w:rPr>
          <w:rFonts w:ascii="Times New Roman" w:hAnsi="Times New Roman"/>
          <w:color w:val="000000"/>
          <w:sz w:val="22"/>
        </w:rPr>
        <w:t>Tessa Varnow, Geschäftsführerin</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Hubwerk Sennfeld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Hubwerk Sennfeld GmbH</w:t>
    </w:r>
  </w:p>
  <w:p>
    <w:pPr>
      <w:spacing w:after="60"/>
      <w:jc w:val="left"/>
      <w:pBdr>
        <w:bottom w:val="single" w:sz="6" w:space="2" w:color="11555F"/>
      </w:pBdr>
    </w:pPr>
    <w:r>
      <w:rPr>
        <w:rFonts w:ascii="Times New Roman" w:hAnsi="Times New Roman"/>
        <w:b w:val="0"/>
        <w:color w:val="000000"/>
        <w:sz w:val="16"/>
      </w:rPr>
      <w:t>Maschinenhof 17, 41540 Dormagen | vertrieb@hubwerk-sennfeld.example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Kaufvertrag HS-42 / Auftrag HS-260520</dc:title>
  <dc:subject>Rheinsteg Ausbau und Metalltechnik GmbH</dc:subject>
  <dc:creator>Hubwerk Sennfeld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