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Anmerkungen zum Vertragsentwurf HP 2618 V1</w:t>
      </w:r>
    </w:p>
    <w:p>
      <w:r>
        <w:t>WA-EK-0911 | 11. September 2026 | an Jonas Rehm</w:t>
      </w:r>
    </w:p>
    <w:p>
      <w:pPr>
        <w:pStyle w:val="Heading1"/>
      </w:pPr>
      <w:r>
        <w:t>1 Vertragsunterlagen und Gesamtfunktion</w:t>
      </w:r>
    </w:p>
    <w:p>
      <w:r>
        <w:t>Zu Ziffer 1.2: Bitte stellen Sie das Lastenheft vor das Angebot und die Leistungsbeschreibung. Wir haben den Vierstundenlauf aus Ihrem Entwurf gelesen; Frau Ott benötigt je einen Lauf in Früh- und Spätschicht einschließlich Produktwechsel. Die Ausbringung ist am Ende der verbundenen Linie zu messen, nicht am Dosierer. Unsere Zahl 90 Gutbecher pro Minute gilt für die fertig verschlossenen und korrekt etikettierten Becher am T4.</w:t>
      </w:r>
    </w:p>
    <w:p>
      <w:r>
        <w:t>Zu Ziffer 2.2: Wir können die Bestandsmaschinen nicht im Leerlauf mit einer bloßen Taktzahl freigeben. Bei der Begehung am 18. August liefen 96 Becher pro Minute; nach 38 Minuten fiel allerdings ein Etikettensensor aus. Helix soll die Signalübergänge selbst prüfen und uns vor Fertigungsfreigabe sagen, ob diese Maschinen den zugesagten Linienlauf ermöglichen. Ein pauschaler Ausschluss sämtlicher Stillstände der Bestandsmaschinen ist uns zu weit.</w:t>
      </w:r>
    </w:p>
    <w:p>
      <w:pPr>
        <w:pStyle w:val="Heading1"/>
      </w:pPr>
      <w:r>
        <w:t>2 Preis und Zahlung</w:t>
      </w:r>
    </w:p>
    <w:p>
      <w:r>
        <w:t>Zu Ziffer 3.1: Die Vorplanung über 9.500 EUR netto wurde am 12. August bezahlt. Aus dem Satz im LOI zur Berücksichtigung im Projektbudget hatte ich einen Abzug bei der ersten Rate verstanden. Bitte zeigen Sie uns die Behandlung in einer überarbeiteten Zahlungsübersicht. Frau Färber hat 675.000 EUR netto als Gesamtrahmen einschließlich Vorplanung genannt.</w:t>
      </w:r>
    </w:p>
    <w:p>
      <w:r>
        <w:t>Zu Ziffer 3.2: 60 Prozent sollen vor Anlieferung bezahlt sein; das können wir ohne Absicherung nicht freigeben. Wir schlagen 20 Prozent nach Vertrag und Absicherung der Vorauszahlung, 40 Prozent nach Werkprüfung und tatsächlicher Anlieferung, 30 Prozent nach erfolgreichem Leistungslauf und 10 Prozent nach vollständiger Dokumentation und Erledigung der protokollierten Restpunkte vor. Der bisherige Betrag für die erste Stufe soll bis zur Klärung der Vorplanung nicht als unstreitig ausgewiesen werden.</w:t>
      </w:r>
    </w:p>
    <w:p>
      <w:pPr>
        <w:pStyle w:val="Heading1"/>
      </w:pPr>
      <w:r>
        <w:t>3 Hallenstrom und Termine</w:t>
      </w:r>
    </w:p>
    <w:p>
      <w:r>
        <w:t>Zu Ziffer 4.1: Die Anschlussdaten können wir am 18. September noch nicht abschließend bestätigen. Der Hallenverteiler wird voraussichtlich erst am 9. Juli 2027 energisiert; ursprünglich war der 11. Juni vorgesehen. Das ist eine Verschiebung auf unserer Seite. Bitte prüfen Sie, welche Tests Sie bis dahin in Gersthofen erledigen können und ob die Montage im Juli trotzdem gehalten werden kann.</w:t>
      </w:r>
    </w:p>
    <w:p>
      <w:r>
        <w:t>Zu Ziffer 4.3: Wir benötigen eine tageweise Darstellung, welche Mannschaft wegen welcher fehlenden Vorleistung wartet. Die Wiederanlaufzeit soll nicht ohne Obergrenze zusätzlich zur Wartezeit entstehen. Wir möchten über Standkosten entscheiden können, bevor sie weiterlaufen. Das im Entwurf genannte tägliche Zeitfenster darf die ab 14 Uhr laufende Nachbarlinie nicht blockieren.</w:t>
      </w:r>
    </w:p>
    <w:p>
      <w:r>
        <w:br w:type="page"/>
      </w:r>
    </w:p>
    <w:p>
      <w:pPr>
        <w:pStyle w:val="Heading1"/>
      </w:pPr>
      <w:r>
        <w:t>4 Prüfungen und Abnahme</w:t>
      </w:r>
    </w:p>
    <w:p>
      <w:r>
        <w:t>Zu Ziffer 7.1: Die Werkprüfung mit Simulator ist sinnvoll. Sie darf weder die Funktionsverantwortung für die reale Linie ersetzen noch die letzte Nachweismöglichkeit für die Kamera sein. Mit weißen Testdeckeln wurde das aktuelle Etikett noch nicht geprüft. Bitte verwenden Sie die von Frau Ott markierten Rollen aus Charge E26-082.</w:t>
      </w:r>
    </w:p>
    <w:p>
      <w:r>
        <w:t>Zu Ziffer 7.2: Bitte übernehmen Sie unsere Messregel aus Ziffer 4 des Lastenhefts. Bei nur vier Stunden am Stück sehen wir den Neustart nach der Reinigung nicht. Wir möchten Störungen zunächst vollständig im Protokoll behalten; welche Zeiten herausgerechnet werden, sollen die Verantwortlichen gemeinsam festhalten. Ein Stromausfall ist etwas anderes als eine von der Liniensteuerung nicht abgefangene kurze Pause des Versieglers.</w:t>
      </w:r>
    </w:p>
    <w:p>
      <w:r>
        <w:t>Zu Ziffer 7.4: Die Nutzung an zehn Tagen kann in unserem Anlaufbetrieb nötig sein, obwohl Restpunkte offen sind. Wir wollen eine ausdrückliche Abnahmeerklärung und keine Abnahme allein durch Produktion. Frau Ott unterschreibt Messprotokolle, aber nicht die Abnahme; dafür soll Frau Färber zeichnen. Helix soll einen wiederholten Lauf nach eigener Nacharbeit nicht gesondert berechnen.</w:t>
      </w:r>
    </w:p>
    <w:p>
      <w:pPr>
        <w:pStyle w:val="Heading1"/>
      </w:pPr>
      <w:r>
        <w:t>5 Software und Betreuung</w:t>
      </w:r>
    </w:p>
    <w:p>
      <w:r>
        <w:t>Zu Ziffer 8.2: Unsere Instandhaltung muss die Anlage auch nach Ausfall des Kamerarechners hochfahren können. Herr Brandt benötigt einen getesteten Rücksicherungsweg, Lizenzdaten, Administratorzugang und eine Ersatzhardwareliste. Bitte erläutern Sie, wer aktiviert, wenn Optivis nicht mehr erreichbar ist. Ein bearbeitbares Steuerungsprojekt ohne lauffähige Kameralizenz genügt dafür nicht.</w:t>
      </w:r>
    </w:p>
    <w:p>
      <w:r>
        <w:t>Zu Ziffer 9.3: Zwischen 14 und 22 Uhr läuft die zweite Schicht. Eine Rückmeldung erst am nächsten Arbeitstag hilft bei einem stillstehenden Ausschleuser wenig. Wir bitten um ein gesondertes Angebot für telefonische Unterstützung bis 22 Uhr und einen benannten Ersatzansprechpartner. Das darf gern separat bepreist werden; wir wollen vor Abschluss wissen, was es kostet.</w:t>
      </w:r>
    </w:p>
    <w:p>
      <w:pPr>
        <w:pStyle w:val="Heading1"/>
      </w:pPr>
      <w:r>
        <w:t>6 Schäden und vorzeitiges Ende</w:t>
      </w:r>
    </w:p>
    <w:p>
      <w:r>
        <w:t>Zu Ziffer 10.1: In einem Produktionslauf stehen etwa 6.000 EUR Produktwert vor der Verpackung. Eine verspätete Ausschleusung kann außerdem einen bereits etikettierten Bestand betreffen. Den vollständigen Ausschluss verdorbener Ware und Produktionsausfall akzeptiert Frau Färber nicht. Bitte lassen Sie Ihren Versicherer die mit unserem Produkt verbundenen Positionen erläutern und schicken Sie eine Deckungsbestätigung.</w:t>
      </w:r>
    </w:p>
    <w:p>
      <w:r>
        <w:t>Zu Ziffer 11.2: Wir möchten bei einem Abbruch die Bestellbelege sehen und selbst entscheiden können, ob wir angefangene Baugruppen übernehmen. Zehn Prozent für den gesamten nicht ausgeführten Rest plus nicht stornierbare Teile kann ich nicht freigeben, ohne zu wissen, was im Rest noch enthalten ist. Zu Ziffer 11.3 benötigen wir ein Recht, die bezahlten Planungsstände durch ein anderes Integrationsunternehmen fertigstellen zu lassen. Für einen Abbruch wegen ausbleibender Helix-Leistung fehlt uns eine konkrete Übergabefrist.</w:t>
      </w:r>
    </w:p>
    <w:p>
      <w:r>
        <w:t>Miriam Seidel</w:t>
        <w:br/>
        <w:t>Mit Timo Brandt und Nora Ott am 11. September abgestimmt; noch keine Freigabe des Gesamtvertrags.</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WA-EK-0911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Wertau Lebensmittel GmbH | Miriam Seidel / Timo Brandt / Nora Ott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Anmerkungen zum Vertragsentwurf HP 2618 V1</dc:title>
  <dc:subject>WA-EK-0911 | 11. September 2026 | an Jonas Rehm</dc:subject>
  <dc:creator>Wertau Lebensmittel GmbH | Miriam Seidel / Timo Brandt / Nora Ott</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