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Italy distribution counterproposal</w:t>
      </w:r>
    </w:p>
    <w:p>
      <w:r>
        <w:t>LS-WM-03 | 3 September 2026 | Giulia Bellini to Anneke Martens | unsigned</w:t>
      </w:r>
    </w:p>
    <w:p>
      <w:pPr>
        <w:pStyle w:val="Heading1"/>
      </w:pPr>
      <w:r>
        <w:t>1 Purchase and resale</w:t>
      </w:r>
    </w:p>
    <w:p>
      <w:r>
        <w:t>Luminara offers to purchase the M24 and M48 modules for resale in its own name and for its own account. Luminara will issue invoices to its customers, collect the receivables and bear their credit risk. Luminara will set its resale prices independently. Weserblick will invoice Luminara at the agreed purchase prices. No sales commission will be payable on goods purchased and resold by Luminara.</w:t>
      </w:r>
    </w:p>
    <w:p>
      <w:r>
        <w:t>Our proposed purchase prices for 2027 are EUR 420 per M24 and EUR 690 per M48, net of any tax position still to be confirmed. The opening order would contain 60 M24 and 15 M48, giving a total goods value of EUR 35,550. The presentation units already held in Bologna under loan WM-L-2606 are not part of this order and will remain separately recorded.</w:t>
      </w:r>
    </w:p>
    <w:p>
      <w:pPr>
        <w:pStyle w:val="Heading1"/>
      </w:pPr>
      <w:r>
        <w:t>2 Territory and reserved accounts</w:t>
      </w:r>
    </w:p>
    <w:p>
      <w:r>
        <w:t>The territory will be Italy only. The initial term will run from 1 January 2027 until 31 December 2029. Weserblick will not appoint another distributor in Italy and will direct enquiries from Italian delivery addresses to Luminara, except for the reserved accounts expressly listed in the signed account schedule.</w:t>
      </w:r>
    </w:p>
    <w:p>
      <w:r>
        <w:t>The reservation for Adria Cartoni S.p.A. should cover only its existing Parma and Verona plants and only orders under the current framework signed before this agreement. New plants, acquisitions, affiliates and new product families should not automatically become reserved accounts. Additional reservations will require Luminara's written agreement before the first direct quotation is issued.</w:t>
      </w:r>
    </w:p>
    <w:p>
      <w:r>
        <w:t>When Luminara is asked to visit a reserved account, commission the equipment or provide first response, Weserblick will issue a separate service order. We propose EUR 95 per technician hour plus agreed travel expenses. When Luminara identifies and develops a new opportunity that Weserblick wishes to supply directly, the parties will agree a referral fee before the customer receives a direct offer. Luminara is not asking for a commission on purchases made for its own stock.</w:t>
      </w:r>
    </w:p>
    <w:p>
      <w:pPr>
        <w:pStyle w:val="Heading1"/>
      </w:pPr>
      <w:r>
        <w:t>3 Internet sales</w:t>
      </w:r>
    </w:p>
    <w:p>
      <w:r>
        <w:t>Luminara will operate an Italian web shop under its own name. It will be allowed to accept unsolicited orders from customers outside Italy without automatically blocking their addresses. Paid campaigns will focus on Italy during the first year. Product pages and delivery terms will clearly identify Luminara as the seller.</w:t>
      </w:r>
    </w:p>
    <w:p>
      <w:r>
        <w:t>Weserblick's portal should route non-reserved Italian accounts to Luminara from the start date, not from April. If the change cannot be completed in time, the parties should agree how those sales affect Luminara's minimum purchase before the first portal order is accepted. We cannot fund an Italian stock while the same customers continue buying directly without any adjustment to our targets.</w:t>
      </w:r>
    </w:p>
    <w:p>
      <w:r>
        <w:br w:type="page"/>
      </w:r>
    </w:p>
    <w:p>
      <w:pPr>
        <w:pStyle w:val="Heading1"/>
      </w:pPr>
      <w:r>
        <w:t>4 Minimum purchases and supply</w:t>
      </w:r>
    </w:p>
    <w:p>
      <w:r>
        <w:t>Luminara proposes annual net purchases of EUR 150,000 in 2027, EUR 190,000 in 2028 and EUR 230,000 in 2029. The opening delivery counts towards 2027. Service fees and the loan units do not count. The monthly forecast we are preparing will be a planning estimate and will not turn all twelve months into binding purchase orders.</w:t>
      </w:r>
    </w:p>
    <w:p>
      <w:r>
        <w:t>If Weserblick cannot deliver an accepted order in the agreed year, the order value will count towards that year's minimum for the purpose of exclusivity. If direct sales to non-reserved Italian customers continue, their net goods value should also count towards the target. Luminara does not propose to pay for quantities that were neither ordered nor delivered.</w:t>
      </w:r>
    </w:p>
    <w:p>
      <w:r>
        <w:t>Weserblick should review any shortfall with Luminara before changing exclusivity. Luminara proposes a three-month recovery period, measured against an agreed order schedule. There should be no automatic loss of exclusivity based on a forecast revision or an unpaid end-customer invoice.</w:t>
      </w:r>
    </w:p>
    <w:p>
      <w:pPr>
        <w:pStyle w:val="Heading1"/>
      </w:pPr>
      <w:r>
        <w:t>5 Payment and first shipment</w:t>
      </w:r>
    </w:p>
    <w:p>
      <w:r>
        <w:t>Luminara proposes payment 45 calendar days after actual delivery in Bologna, without advance payment. For a delivery on 11 January 2027, the due date would therefore be 25 February 2027. The first order is subject to agreement of this term and cannot be confirmed under the advance-payment terms in offer WM-IT-260714.</w:t>
      </w:r>
    </w:p>
    <w:p>
      <w:r>
        <w:t>The credit exposure can be limited to EUR 60,000 of unpaid goods invoices. If accepting another shipment would exceed that amount, the parties will agree a split shipment or an interim payment. This credit limit is an offer by Luminara, not an existing facility. Goods remain covered by the agreed retention of title, but Luminara must remain free to resell them in the ordinary course of business.</w:t>
      </w:r>
    </w:p>
    <w:p>
      <w:pPr>
        <w:pStyle w:val="Heading1"/>
      </w:pPr>
      <w:r>
        <w:t>6 Warranty and service</w:t>
      </w:r>
    </w:p>
    <w:p>
      <w:r>
        <w:t>Luminara will provide Italian-language intake, check the supply voltage and cabling and record the serial number and observed fault. It will not open sealed electronics or perform calibration without training and written authorisation. For confirmed product defects, Weserblick should provide repair or replacement and cover reasonable return freight. Luminara proposes that the 24-month period start with its sale to the end customer, but no later than six months after delivery to Bologna.</w:t>
      </w:r>
    </w:p>
    <w:p>
      <w:r>
        <w:t>We need a separately funded exchange pool if we are to offer a replacement within 48 hours. We propose four M24 and two M48 on loan, with ownership remaining with Weserblick. Work beyond intake and a basic connection check should be charged at the agreed hourly rate when Weserblick requests it. The distributor margin should not silently include repeated site visits for a manufacturing fault. Weserblick should not be bound by any separate paid service promise made by Luminara to its own customer.</w:t>
      </w:r>
    </w:p>
    <w:p>
      <w:r>
        <w:br w:type="page"/>
      </w:r>
    </w:p>
    <w:p>
      <w:pPr>
        <w:pStyle w:val="Heading1"/>
      </w:pPr>
      <w:r>
        <w:t>7 Customer information</w:t>
      </w:r>
    </w:p>
    <w:p>
      <w:r>
        <w:t>Luminara will provide monthly product quantities, serial numbers, end-customer company names, delivery towns and application sectors for delivered devices. Personal contact information will be provided where needed for an identified service case or with a customer introduction agreed by Luminara. We do not agree to a standing transfer of all named contacts, private mobile numbers, our resale prices or open opportunities.</w:t>
      </w:r>
    </w:p>
    <w:p>
      <w:r>
        <w:t>Weserblick should use the transmitted information for product support, traceability and production planning. It should not use the list to quote directly to Luminara's active accounts during the term. The parties need an agreed retention period and access list before uploading any customer file. The current data-field proposal KD-IT-01 is not approved by Luminara.</w:t>
      </w:r>
    </w:p>
    <w:p>
      <w:pPr>
        <w:pStyle w:val="Heading1"/>
      </w:pPr>
      <w:r>
        <w:t>8 Stock at the end of the relationship</w:t>
      </w:r>
    </w:p>
    <w:p>
      <w:r>
        <w:t>If the agreement expires after three years or Weserblick ends it without a material breach by Luminara, Weserblick should repurchase unopened, current-model units delivered in the preceding twelve months at the original net purchase price. Luminara will provide serial numbers and purchase invoices within 15 days. Weserblick will arrange collection within 30 days and pay within 30 days of receipt. Units with damaged packaging can be reviewed individually; unopened accessories should follow the same process.</w:t>
      </w:r>
    </w:p>
    <w:p>
      <w:r>
        <w:t>Older saleable units should have a twelve-month sell-off period. Luminara must be allowed to identify the products truthfully in its web shop during that period. We do not propose a repurchase at the normal price for worn presentation units, customer returns or devices with unapproved modifications. Loan devices will be returned under their separate loan terms and must not be counted twice in any stock settlement.</w:t>
      </w:r>
    </w:p>
    <w:p>
      <w:pPr>
        <w:pStyle w:val="Heading1"/>
      </w:pPr>
      <w:r>
        <w:t>9 Termination and transition</w:t>
      </w:r>
    </w:p>
    <w:p>
      <w:r>
        <w:t>Either party may terminate for a material breach that remains unremedied 30 days after a written notice describing the breach. Before suspending deliveries for non-payment, Weserblick should identify the overdue invoice and allow the agreed cure period. A dispute about a specific RMA should not suspend unrelated fully paid orders.</w:t>
      </w:r>
    </w:p>
    <w:p>
      <w:r>
        <w:t>During the final three months, the parties should identify open customer orders, warranty cases and stock serial numbers. Accepted purchase orders will continue unless both parties agree otherwise. Luminara will stop presenting itself as the exclusive distributor when the term ends, while retaining product documentation needed to support already sold devices.</w:t>
      </w:r>
    </w:p>
    <w:p>
      <w:pPr>
        <w:pStyle w:val="Heading1"/>
      </w:pPr>
      <w:r>
        <w:t>10 Applicable law and forum</w:t>
      </w:r>
    </w:p>
    <w:p>
      <w:r>
        <w:t>Luminara proposes Italian law and the courts of Bologna. We have not accepted German law, Bremen jurisdiction or German as the only authoritative contract language. We are willing to discuss a bilingual German and English execution version, with a jointly agreed rule for any discrepancy. No choice of law, court or controlling language has yet been agreed.</w:t>
      </w:r>
    </w:p>
    <w:p>
      <w:r>
        <w:t>Giulia Bellini</w:t>
        <w:br/>
        <w:t>Managing Director, Luminara Strumenti S.r.l.</w:t>
        <w:br/>
        <w:t>This counterproposal remains open for discussion and has not been signed by either party.</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LS-WM-03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Luminara Strumenti S.r.l. | Via del Calibratore 22 | 40138 Bologna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Italy distribution counterproposal</dc:title>
  <dc:subject>LS-WM-03 | 3 September 2026 | Giulia Bellini to Anneke Martens | unsigned</dc:subject>
  <dc:creator>Luminara Strumenti S.r.l. | Via del Calibratore 22 | 40138 Bologna</dc:creator>
  <cp:keywords/>
  <dc:description>generated by python-docx</dc:description>
  <cp:lastModifiedBy/>
  <cp:revision>1</cp:revision>
  <dcterms:created xsi:type="dcterms:W3CDTF">2026-09-22T08:00:00Z</dcterms:created>
  <dcterms:modified xsi:type="dcterms:W3CDTF">2026-09-22T08:00:00Z</dcterms:modified>
  <cp:category/>
  <dc:language>en-GB</dc:language>
</cp:coreProperties>
</file>