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Gegenfassungen zu den Mehrheitsklauseln der Satzung</w:t>
      </w:r>
    </w:p>
    <w:p>
      <w:pPr>
        <w:pStyle w:val="Subtitle"/>
      </w:pPr>
      <w:r>
        <w:t>Ottilie Kühnle und Eberhard Demir an den Gründerkreis</w:t>
      </w:r>
    </w:p>
    <w:p>
      <w:r>
        <w:t>28. September 2026 · 11:10 Uhr</w:t>
      </w:r>
    </w:p>
    <w:p>
      <w:r>
        <w:t>Wir legen für die Besprechung zwei alternative Fassungen zu den Nummern 5.3, 6.2 und 8.1 des Satzungsentwurfs vom 25. September vor. Die übrigen Bestimmungen sollen zunächst unverändert besprochen werden. Keine Fassung ist ausgewählt. Das geplante Stammkapital bleibt 25.000 EUR mit sieben Gründern.</w:t>
      </w:r>
    </w:p>
    <w:p>
      <w:pPr>
        <w:pStyle w:val="Heading1"/>
      </w:pPr>
      <w:r>
        <w:t>1 Vorschlag Kühnle für das gesamte stimmberechtigte Kapital</w:t>
      </w:r>
    </w:p>
    <w:p>
      <w:r>
        <w:t>1.1 Nummer 5.3 soll lauten: Die Versammlung ist beschlussfähig, wenn mindestens 70 Prozent des für die Tagesordnung stimmberechtigten Stammkapitals vertreten sind. Fehlt die Beschlussfähigkeit, wird mit gleicher Tagesordnung und gleicher Frist erneut eingeladen. Die zweite Versammlung ist unabhängig vom vertretenen Kapital beschlussfähig, wenn hierauf in der Einladung hingewiesen wurde. Die in Nummer 6.2 und Nummer 8.1 verlangte Zustimmung eines bestimmten Anteils des gesamten stimmberechtigten Stammkapitals gilt auch in der zweiten Versammlung unverändert.</w:t>
      </w:r>
    </w:p>
    <w:p>
      <w:r>
        <w:t>1.2 Nummer 6.2 soll lauten: Änderungen des Gesellschaftsvertrags, Kapitalerhöhungen, Kapitalherabsetzungen, Auflösung, Umwandlungsmaßnahmen sowie Einführung oder Erweiterung eines Beirats mit Entscheidungsbefugnissen bedürfen zustimmender Stimmen, die mindestens 75 Prozent des gesamten bei diesem Beschluss stimmberechtigten Stammkapitals repräsentieren. Gesetzlich vom Stimmrecht ausgeschlossene Anteile werden bei der Bezugsgröße nicht berücksichtigt. Nichtteilnahme und Enthaltung lassen die Bezugsgröße im Übrigen unberührt. Zusätzlich sind jede gesetzlich vorgeschriebene Mehrheit der abgegebenen Stimmen und erforderliche Einzelzustimmungen einzuhalten.</w:t>
      </w:r>
    </w:p>
    <w:p>
      <w:r>
        <w:t>1.3 Nummer 8.1 soll lauten: Abtretung, Verpfändung und Nießbrauchbestellung an Geschäftsanteilen bedürfen der Zustimmung der Gesellschafterversammlung mit zustimmenden Stimmen aus mindestens 75 Prozent des bei diesem Beschluss insgesamt stimmberechtigten Stammkapitals. Die Bestimmung der Bezugsgröße richtet sich nach Nummer 6.2. Erforderliche Form und sonstige gesetzliche Voraussetzungen bleiben unberührt.</w:t>
      </w:r>
    </w:p>
    <w:p>
      <w:pPr>
        <w:pStyle w:val="Heading1"/>
        <w:pageBreakBefore/>
      </w:pPr>
      <w:r>
        <w:t>2 Vorschlag Demir für die tatsächlich abgegebenen Stimmen</w:t>
      </w:r>
    </w:p>
    <w:p>
      <w:r>
        <w:t>2.1 Nummer 5.3 soll lauten: Die Versammlung ist beschlussfähig, wenn mindestens 70 Prozent des stimmberechtigten Stammkapitals vertreten sind. Eine bei fehlender Beschlussfähigkeit mit gleicher Frist und Tagesordnung einberufene zweite Versammlung ist unabhängig vom vertretenen Kapital beschlussfähig, wenn die Einladung darauf hinweist. Die Mehrheiten nach Nummer 6.2 und Nummer 8.1 werden auch dort anhand der gültig abgegebenen Stimmen ermittelt. Gesetzliche Zustimmungserfordernisse bleiben bestehen.</w:t>
      </w:r>
    </w:p>
    <w:p>
      <w:r>
        <w:t>2.2 Nummer 6.2 soll lauten: Änderungen des Gesellschaftsvertrags, Kapitalerhöhungen, Kapitalherabsetzungen, Auflösung, Umwandlungsmaßnahmen sowie Einführung oder Erweiterung eines Beirats mit Entscheidungsbefugnissen bedürfen mindestens 75 Prozent der gültig abgegebenen Stimmen. Enthaltungen, nicht abgegebene Stimmen und Stimmen eines gesetzlich vom Stimmrecht Ausgeschlossenen werden nicht als abgegebene Stimmen gezählt. Höhere gesetzliche Mehrheiten und erforderliche Einzelzustimmungen bleiben unberührt.</w:t>
      </w:r>
    </w:p>
    <w:p>
      <w:r>
        <w:t>2.3 Nummer 8.1 soll lauten: Abtretung, Verpfändung und Nießbrauchbestellung an Geschäftsanteilen bedürfen der Zustimmung der Gesellschafterversammlung mit mindestens 75 Prozent der gültig abgegebenen Stimmen. Nummer 6.2 Satz 2 gilt entsprechend. Gesetzliche Formvorschriften bleiben unberührt.</w:t>
      </w:r>
    </w:p>
    <w:p>
      <w:pPr>
        <w:pStyle w:val="Heading1"/>
      </w:pPr>
      <w:r>
        <w:t>3 Noch nicht aufgelöster Streit</w:t>
      </w:r>
    </w:p>
    <w:p>
      <w:r>
        <w:t>3.1 Ottilie erklärt: Ich möchte, dass Abwesenheit die Hürde für Kapitalmaßnahmen nicht verkleinert. Mein Wunsch nach einem persönlichen Budgetrecht ist damit noch nicht formuliert. In meinem Tätigkeitsblatt habe ich das gesamte Jahresbudget über 50.000 EUR gemeint. Nummer 3.1 der Gesellschaftervereinbarung erfasst bisher nur eine Erhöhung um mehr als 50.000 EUR. Diese beiden Sätze dürfen nicht als dasselbe freigegeben werden.</w:t>
      </w:r>
    </w:p>
    <w:p>
      <w:r>
        <w:t>3.2 Eberhard erklärt: Ich halte an der zweiten Versammlung fest, damit eine kurzfristige Finanzierung nicht an einem leeren Bildschirm scheitert. Ein persönliches Recht für jedes Jahresbudget möchte ich nicht in die Satzung aufnehmen. Ich akzeptiere, dass unser zusätzlicher Streit über Ottilies Budgetzustimmung gesondert aufgeschrieben werden muss.</w:t>
      </w:r>
    </w:p>
    <w:p>
      <w:r>
        <w:t>3.3 Kunigunde hat eine konkrete Gegenüberstellung für Anwesenheit, Enthaltung und Stimmverbote verlangt. Die Gruppe hat weder ein Abstimmungsergebnis vorweggenommen noch Ottilie eine umfassende Weisungsabwehr zugesagt. An das Notariat soll vor Auswahl nur dieses Alternativblatt mit dem unveränderten Ausgangsentwurf gehen.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Gegenfassungen zu den Mehrheitsklauseln der Satzung</dc:title>
  <dc:subject>Schnittflug Robotics – Gründungsunterlagen</dc:subject>
  <dc:creator>Ottilie Kühnle und Eberhard Demir an den Gründerkreis</dc:creator>
  <cp:keywords/>
  <dc:description>generated by python-docx</dc:description>
  <cp:lastModifiedBy/>
  <cp:revision>1</cp:revision>
  <dcterms:created xsi:type="dcterms:W3CDTF">2026-09-28T09:00:00Z</dcterms:created>
  <dcterms:modified xsi:type="dcterms:W3CDTF">2026-09-28T09:00:00Z</dcterms:modified>
  <cp:category/>
</cp:coreProperties>
</file>