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Gegenentwurf zu Ottilies Geschäftsführerdienstvertrag</w:t>
      </w:r>
    </w:p>
    <w:p>
      <w:pPr>
        <w:pStyle w:val="Subtitle"/>
      </w:pPr>
      <w:r>
        <w:t>Ottilie Kühnle an den Gründerkreis und Dr. Frida Wolfram</w:t>
      </w:r>
    </w:p>
    <w:p>
      <w:r>
        <w:t>28. September 2026 · 12:20 Uhr</w:t>
      </w:r>
    </w:p>
    <w:p>
      <w:r>
        <w:t>Ich möchte den Entwurf 34 vom heutigen Tag nur mit den nachstehenden Änderungen weiterverhandeln. Die Gesellschaft ist noch nicht beurkundet. Meine Mitarbeit als Geschäftsführerin und die monatliche Vergütung sollen frühestens am 1. Januar 2027 auf Grundlage wirksamer Bestellung und eines abgeschlossenen Vertrags beginnen. Dieses Blatt enthält meine Gegenfassung, keine Zusage des Teams.</w:t>
      </w:r>
    </w:p>
    <w:p>
      <w:pPr>
        <w:pStyle w:val="Heading1"/>
      </w:pPr>
      <w:r>
        <w:t>1 Umfang und tatsächliche Organisation</w:t>
      </w:r>
    </w:p>
    <w:p>
      <w:r>
        <w:t>1.1 Nummer 2.1 soll lauten: Die Geschäftsführerin stellt ihre Arbeitskraft im Umfang von durchschnittlich 32 Stunden wöchentlich zur Verfügung. Die Verteilung auf fünf Wochentage organisiert sie innerhalb der vereinbarten Aufgaben selbst. Die gemeinsame Geschäftsführungsrunde findet montags um 9 Uhr statt; eine Verlegung wird mit dem weiteren Geschäftsführer abgestimmt. Sitzungen und dienstliche Reisezeiten zählen zum vereinbarten Umfang. Dauerhaft zusätzlicher Bedarf wird vor Übernahme neuer Aufgaben mit der Gesellschafterversammlung beraten und in einer Vergütungsvereinbarung abgebildet.</w:t>
      </w:r>
    </w:p>
    <w:p>
      <w:r>
        <w:t>1.2 Ergänzend soll gelten: Die Geschäftsführerin führt eine monatliche Übersicht ihrer Tätigkeitszeiten für Kapazitäts- und Kostenplanung. Sie ist während einer angekündigten krankheitsbedingten Verhinderung und während abgestimmter Erholung nicht zur allgemeinen Rufbereitschaft verpflichtet. Ihre unabdingbaren Organpflichten und notwendige Übergabemaßnahmen bleiben unberührt. Eine gegenseitige Urlaubsvertretung wird mit Eberhard konkret vereinbart; dieser Entwurf erteilt ihm keine Vollmacht, rechtsgeschäftlich für sie zu handeln.</w:t>
      </w:r>
    </w:p>
    <w:p>
      <w:r>
        <w:t>1.3 Ich bin gegenwärtig bei meinem bisherigen Arbeitgeber für 30 Wochenstunden beschäftigt. Eine Reduzierung oder Beendigung habe ich nicht vereinbart. Meine mündliche Information über die Gründungsidee ist keine schriftliche Nebentätigkeitsfreigabe. Der hier verlangte Umfang setzt voraus, dass ich meine bisherigen Bindungen rechtzeitig klären kann; ich verspreche nicht, beide Stundenkontingente nebeneinander zu erfüllen.</w:t>
      </w:r>
    </w:p>
    <w:p>
      <w:pPr>
        <w:pStyle w:val="Heading1"/>
      </w:pPr>
      <w:r>
        <w:t>2 Vergütung und Krankheit</w:t>
      </w:r>
    </w:p>
    <w:p>
      <w:r>
        <w:t>2.1 Nummer 3.1 soll lauten: Die feste Vergütung beträgt monatlich 4.200 EUR brutto und ist am letzten Bankarbeitstag des Monats zahlbar. Eine Kürzung auf 3.500 EUR oder ein Zahlungsaufschub bei ausbleibender Finanzierung bedarf einer neuen Vereinbarung. Vor dem vereinbarten Dienstbeginn entsteht aus diesem Vertrag keine Vergütung. Die Rückzahlung des Stammkapitals, eine Gewinnausschüttung oder die Erstattung privater Auslagen ersetzt keine Gehaltszahlung.</w:t>
      </w:r>
    </w:p>
    <w:p>
      <w:r>
        <w:t>2.2 Nummer 5.2 soll lauten: Die Geschäftsführerin teilt eine Verhinderung und deren voraussichtliche Dauer unverzüglich dem weiteren Geschäftsführer mit. Bei Krankheit legt sie spätestens ab dem vierten Kalendertag einen geeigneten Nachweis der Arbeitsunfähigkeit und voraussichtlichen Dauer vor. Diagnosen sind gegenüber dem Gründerkreis nicht offenzulegen. Bei unverschuldeter Krankheit zahlt die Gesellschaft die feste Vergütung für bis zu zwölf Wochen je zusammenhängendem Verhinderungsfall weiter. Weitergehende zwingende Ansprüche bleiben unberührt.</w:t>
      </w:r>
    </w:p>
    <w:p>
      <w:r>
        <w:t>2.3 Ergänzend soll gelten: Eine ärztlich abgestimmte schrittweise Wiederaufnahme wird vor Beginn nach Stundenumfang, Aufgaben und Vergütung schriftlich vereinbart. Eine Herabsetzung der Vergütung, eine Beendigung des Amts oder eine Einordnung als schlechter Ausstieg im Vesting folgt aus Krankheit oder Wiedereingliederung nicht automatisch. Die Parteien beraten spätestens nach acht Wochen über die Vertretung und den erwarteten Personalbedarf.</w:t>
      </w:r>
    </w:p>
    <w:p>
      <w:pPr>
        <w:pStyle w:val="Heading1"/>
      </w:pPr>
      <w:r>
        <w:t>3 Beteiligung und noch zu klärender Erwerbsstatus</w:t>
      </w:r>
    </w:p>
    <w:p>
      <w:r>
        <w:t>3.1 Für die Prüfung gebe ich unverändert an: Ich soll 5.250 EUR von 25.000 EUR und damit 21 Prozent halten. Ich bin neben Eberhard als Geschäftsführerin vorgesehen. Einzelvertretung ist streitig. Ein allgemeines persönliches Vetorecht steht nicht im Satzungsentwurf. Das einzige ausdrücklich auf mich bezogene Budgetrecht befindet sich bisher in Nummer 3.1 des Entwurfs der Gesellschaftervereinbarung; schon sein sachlicher Umfang ist zwischen uns offen.</w:t>
      </w:r>
    </w:p>
    <w:p>
      <w:r>
        <w:t>3.2 Im geplanten Alltag soll ich Rechnungen, Personalorganisation und Bankkontakte betreuen. Jahresbudget und Geschäftsordnung sollen gemeinsam beschlossen werden. Die wöchentliche Berichterstattung sowie die Abstimmung der Erholung habe ich akzeptiert; ein unbeschränktes Recht, Gesellschafterweisungen zurückzuweisen, ist mir nicht zugesagt. Mitarbeiter sind noch nicht eingestellt, Bankbefugnisse noch nicht eingerichtet und Dienstbezüge noch nicht abgerechnet.</w:t>
      </w:r>
    </w:p>
    <w:p>
      <w:r>
        <w:t>3.3 Nummer 4.1 des Ausgangsentwurfs soll beibehalten und ergänzt werden: Die Parteien stellen die endgültig vereinbarten Rechtsgrundlagen und die vorgesehene tatsächliche Organisation gemeinsam für die Statusklärung zur Verfügung. Unterschiedliche Angaben werden vor Einreichung gekennzeichnet und geklärt. Keine Partei darf allein aus der Bezeichnung Geschäftsführerin, dem geplanten Anteil oder dieser Vergütungsvereinbarung einen bestimmten sozialversicherungsrechtlichen Status garantieren.</w:t>
      </w:r>
    </w:p>
    <w:p>
      <w:pPr>
        <w:pStyle w:val="Heading1"/>
      </w:pPr>
      <w:r>
        <w:t>4 Verbleibende Verhandlung</w:t>
      </w:r>
    </w:p>
    <w:p>
      <w:r>
        <w:t>4.1 Eberhard hat mir heute mündlich gesagt, dass 4.200 EUR bei 32 Stunden mit seiner eigenen Planung von 3.500 EUR kollidieren. Ich habe darauf keine Gleichbehandlungszusage abgegeben. Bitte legt beide Finanzierungsfolgen offen, bevor einer von uns seine bisherige Stelle verändert.</w:t>
      </w:r>
    </w:p>
    <w:p>
      <w:r>
        <w:t>4.2 Die Nummern 1, 2.2, 3.2, 4.2, 5.1 sowie 6 bis 8 des Ausgangsentwurfs bleiben Grundlage der Verhandlung, soweit die vorstehenden Änderungen nicht eingreifen. Die für Unterzeichnung erforderliche Vertretung der künftigen Gesellschaft bleibt gesondert festzulegen. Einen Vertrag oder einen Statusantrag habe ich heute nicht unterschrieben.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Gegenentwurf zu Ottilies Geschäftsführerdienstvertrag</dc:title>
  <dc:subject>Schnittflug Robotics – Gründungsunterlagen</dc:subject>
  <dc:creator>Ottilie Kühnle an den Gründerkreis und Dr. Frida Wolfram</dc:creator>
  <cp:keywords/>
  <dc:description>generated by python-docx</dc:description>
  <cp:lastModifiedBy/>
  <cp:revision>1</cp:revision>
  <dcterms:created xsi:type="dcterms:W3CDTF">2026-09-28T09:00:00Z</dcterms:created>
  <dcterms:modified xsi:type="dcterms:W3CDTF">2026-09-28T09:00:00Z</dcterms:modified>
  <cp:category/>
</cp:coreProperties>
</file>