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Vesting und Rückerwerb bei Ende der Mitarbeit</w:t>
      </w:r>
    </w:p>
    <w:p>
      <w:pPr>
        <w:pStyle w:val="Subtitle"/>
      </w:pPr>
      <w:r>
        <w:t>Eberhard Demir mit Gegenbemerkungen von Kunigunde Nguyen und Alois Rossi</w:t>
      </w:r>
    </w:p>
    <w:p>
      <w:r>
        <w:t>28. September 2026 · 13:05 Uhr</w:t>
      </w:r>
    </w:p>
    <w:p>
      <w:r>
        <w:t>Ergänzung zur noch offenen Nummer 5 der Gesellschaftervereinbarung vom 26. September. Die folgenden Regelungen sind Verhandlungstexte für eine später formgerecht abzuschließende Vereinbarung. Weder die besprochene Gründungsquote noch die Arbeit am Projekt begründet gegenwärtig ein Rückerwerbsrecht. Die Vorschläge gehen für alle sieben Gründer von 48 Monaten aus.</w:t>
      </w:r>
    </w:p>
    <w:p>
      <w:pPr>
        <w:pStyle w:val="Heading1"/>
      </w:pPr>
      <w:r>
        <w:t>1 Eberhards Vorschlag zum zeitlichen Verlauf</w:t>
      </w:r>
    </w:p>
    <w:p>
      <w:r>
        <w:t>1.1 Die Bindungszeit beginnt für alle Gründer am 1. Januar 2027, wenn bis dahin die Gesellschaft entstanden und eine wirksame Vestingvereinbarung abgeschlossen ist; andernfalls beginnt sie am ersten Tag des auf den Eintritt beider Voraussetzungen folgenden Monats. Gegenstand des Rückerwerbsrechts ist ausschließlich der bei Gründung übernommene Nennbetrag des jeweiligen Gründers. Später entgeltlich erworbene Anteile sind nicht einbezogen.</w:t>
      </w:r>
    </w:p>
    <w:p>
      <w:r>
        <w:t>1.2 Nach zwölf vollständig abgelaufenen Monaten werden zwölf Achtundvierzigstel des einbezogenen Nennbetrags vom Rückerwerbsrecht frei. Danach wird nach jedem vollständig abgelaufenen Monat ein weiteres Achtundvierzigstel frei. Vor Ablauf des zwölften Monats ist nach diesem Vorschlag kein Anteil freigegeben. Der insgesamt freigegebene Nennbetrag wird auf volle Euro abgerundet; nach dem achtundvierzigsten Monat wird der vollständige Rest freigegeben. Eine Teilung oder Abtretung wird gesondert in erforderlicher Form durchgeführt.</w:t>
      </w:r>
    </w:p>
    <w:p>
      <w:r>
        <w:t>1.3 Eberhard verlangt die Anrechnung von sechs Monaten Vorarbeit für sich und Kunigunde. Diese Anrechnung soll die Wartezeit und die insgesamt verbleibende Bindung jeweils um sechs Monate verkürzen. Für die anderen Gründer verlangt er keine Anrechnung, weil er die Arbeit am Steuerungs- und Bildverarbeitungskonzept für den wertbildenden Kern hält. Die Gründer haben diese Zuordnung nicht gebilligt.</w:t>
      </w:r>
    </w:p>
    <w:p>
      <w:pPr>
        <w:pStyle w:val="Heading1"/>
      </w:pPr>
      <w:r>
        <w:t>2 Gegenfassung zu den Vorleistungen und Unterbrechungen</w:t>
      </w:r>
    </w:p>
    <w:p>
      <w:r>
        <w:t>2.1 Kunigunde schlägt stattdessen vor: Eine Anrechnung erfolgt nur anhand eines von allen betroffenen Gründern bestätigten Verzeichnisses, das Arbeitsergebnis, Zeitraum und zu klärende Drittberechtigungen bezeichnet. Die Anerkennung einer Vorleistung bestätigt weder deren Rechtefreiheit noch ihre Eignung als Geldeinlage. Über Umfang und wirtschaftliche Gewichtung ist für jeden Gründer einzeln zu entscheiden; bis dahin beginnt für niemanden eine vorgezogene Freigabe.</w:t>
      </w:r>
    </w:p>
    <w:p>
      <w:r>
        <w:t>2.2 Alois verlangt folgende Ergänzung: Krankheit und eine mit der Gesellschaft vereinbarte stufenweise Wiederaufnahme zählen während der ersten sechs Monate einer zusammenhängenden Unterbrechung als fortlaufende Bindungszeit. Nach sechs Monaten wird die weitere Freigabe bis zur Wiederaufnahme angehalten; bereits freigegebene Anteile bleiben frei. Vereinbarte Elternzeit wird gleich behandelt. Eine Verlängerung kann einvernehmlich beschlossen werden und begründet keinen Anspruch anderer Gründer auf dieselbe Sonderregelung.</w:t>
      </w:r>
    </w:p>
    <w:p>
      <w:r>
        <w:t>2.3 Eberhard widerspricht der sechsmonatigen Fortschreibung und bietet höchstens sechs Wochen an. Kunigunde widerspricht seiner Forderung, Teilzeit ohne vorher vereinbarte Mindeststunden als Unterbrechung zu behandeln. Nepomuk hält fest, dass seine fachliche Begleitung, Salonkontakte und Tests nicht erst mit einer Softwaredatei beginnen. Das Verzeichnis mit anerkannten Monaten existiert noch nicht.</w:t>
      </w:r>
    </w:p>
    <w:p>
      <w:pPr>
        <w:pStyle w:val="Heading1"/>
        <w:pageBreakBefore/>
      </w:pPr>
      <w:r>
        <w:t>3 Ausscheiden und Kaufpreis</w:t>
      </w:r>
    </w:p>
    <w:p>
      <w:r>
        <w:t>3.1 Eberhards Klauselvorschlag lautet: Endet die vereinbarte Mitarbeit endgültig, können die übrigen Gründer die noch gebundenen Anteile zum darauf tatsächlich eingezahlten Nennbetrag erwerben. Bei Tod, dauerhaft medizinisch belegter Unfähigkeit zur vereinbarten Mitarbeit, betriebsbedingter Beendigung oder Kündigung durch den Gründer nach erheblichem, trotz schriftlicher Abhilfeaufforderung nicht behobenem Vertragsverstoß der Gesellschaft gilt der Gründer als Good Leaver. Bereits freigegebene Anteile unterliegen dann keinem Rückerwerb.</w:t>
      </w:r>
    </w:p>
    <w:p>
      <w:r>
        <w:t>3.2 Für einen Bad Leaver verlangt Eberhard ergänzend den Rückerwerb auch freigegebener Anteile zu 75 Prozent ihres Verkehrswerts. Als Bad Leaver will er einen Gründer behandeln, der ohne einen Fall nach Nummer 3.1 vor Ende der Bindungszeit kündigt oder wegen eines von ihm verschuldeten wichtigen Grundes ausgeschlossen wird. Der Verkehrswert soll auf den Tag des wirksamen Endes der Mitarbeit ermittelt werden. Kommt binnen 30 Tagen keine Einigung über den Wert zustande, sollen die Parteien gemeinsam eine unabhängige Wirtschaftsprüferin beauftragen und deren Kosten hälftig zwischen dem ausscheidenden Gründer und den Erwerbern teilen.</w:t>
      </w:r>
    </w:p>
    <w:p>
      <w:r>
        <w:t>3.3 Kunigundes Gegenfassung lautet: Eine gewöhnliche Eigenkündigung ist kein Bad-Leaver-Ereignis. Ein solches Ereignis setzt eine vorsätzliche erhebliche Schädigung der Gesellschaft voraus, die der betroffene Gründer anerkannt hat oder die rechtskräftig festgestellt ist. Bis dahin werden strittige Anteile nicht übertragen. Ein Rückerwerb bereits freigegebener Anteile zu einem Abschlag wird nicht vereinbart. Eine bloße Abberufung aus dem Geschäftsführeramt löst kein Leaver-Ereignis aus, solange die vereinbarte Mitarbeit fortgesetzt wird.</w:t>
      </w:r>
    </w:p>
    <w:p>
      <w:pPr>
        <w:pStyle w:val="Heading1"/>
      </w:pPr>
      <w:r>
        <w:t>4 Ausübung und ungeklärte Durchführung</w:t>
      </w:r>
    </w:p>
    <w:p>
      <w:r>
        <w:t>4.1 Der jeweils vereinbarte Rückerwerb soll binnen drei Monaten nach schriftlicher Mitteilung des auslösenden Sachverhalts ausgeübt werden. Mehrere Erwerber müssen einen vollständigen, auf volle Euro lautenden Erwerbsplan mitteilen. Fehlt eine Einigung über die Verteilung, findet aus dieser Erklärung kein Erwerb statt. Kaufpreiszahlung und erforderliche Anteilsübertragung sollen Zug um Zug erfolgen. Eine Einziehung durch die Gesellschaft ist nicht vorgesehen.</w:t>
      </w:r>
    </w:p>
    <w:p>
      <w:r>
        <w:t>4.2 Ottilie verlangt vor Einigung eine Regelung für den Fall, dass die übrigen Gründer den Kaufpreis nicht finanzieren können. Eberhard möchte eine Ratenzahlung; Kunigunde lehnt eine unbesicherte Kaufpreisstundung ab. Weder Zahlungsfristen für Raten noch Sicherheiten sind vereinbart. Die notarielle Abstimmung ist vor Abschluss erforderlich; dieses Papier soll keine bereits bindende Abtretungspflicht darstellen.</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Vesting und Rückerwerb bei Ende der Mitarbeit</dc:title>
  <dc:subject>Schnittflug Robotics – Gründungsunterlagen</dc:subject>
  <dc:creator>Eberhard Demir mit Gegenbemerkungen von Kunigunde Nguyen und Alois Rossi</dc:creator>
  <cp:keywords/>
  <dc:description>generated by python-docx</dc:description>
  <cp:lastModifiedBy/>
  <cp:revision>1</cp:revision>
  <dcterms:created xsi:type="dcterms:W3CDTF">2026-09-28T09:00:00Z</dcterms:created>
  <dcterms:modified xsi:type="dcterms:W3CDTF">2026-09-28T09:00:00Z</dcterms:modified>
  <cp:category/>
</cp:coreProperties>
</file>