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Counterproposal on personal budget consent</w:t>
      </w:r>
    </w:p>
    <w:p>
      <w:pPr>
        <w:pStyle w:val="Subtitle"/>
      </w:pPr>
      <w:r>
        <w:t>Eberhard Demir to all seven founders</w:t>
      </w:r>
    </w:p>
    <w:p>
      <w:r>
        <w:t>28 September 2026 · 14:10 Berlin time</w:t>
      </w:r>
    </w:p>
    <w:p>
      <w:r>
        <w:t>This English counterproposal responds to the German founder proposal circulated by Ottilie on 27 September at 20:15. It is a later negotiating version, not an English translation of that proposal or an agreed amendment. I changed the trigger, the response period and the treatment of a future seed investment. The German shareholders agreement of 26 September is still the starting document.</w:t>
      </w:r>
    </w:p>
    <w:p>
      <w:pPr>
        <w:pStyle w:val="Heading1"/>
      </w:pPr>
      <w:r>
        <w:t>1 Parties and proposed replacement</w:t>
      </w:r>
    </w:p>
    <w:p>
      <w:r>
        <w:t>1.1 The proposed parties are Ottilie Kühnle, Eberhard Demir, Kunigunde Nguyen, Nepomuk Huber, Wilhelmine Okafor, Alois Rossi and Thekla Ben-Ami. This side letter would replace clauses 3.1 and 3.2 of their shareholders agreement only when the agreed documents have been executed in the required form. The future company is not bound by circulation of this draft.</w:t>
      </w:r>
    </w:p>
    <w:p>
      <w:r>
        <w:t>1.2 I accept that private advances and the intended share capital must remain separate. This draft neither allocates additional shares nor requires a founder to make a loan.</w:t>
      </w:r>
    </w:p>
    <w:p>
      <w:pPr>
        <w:pStyle w:val="Heading1"/>
      </w:pPr>
      <w:r>
        <w:t>2 Annual increases as the consent trigger</w:t>
      </w:r>
    </w:p>
    <w:p>
      <w:r>
        <w:t>2.1 The parties shall not vote in favour of changes that increase the planned total cash expenditure for a financial year by more than EUR 50,000 in aggregate above the originally approved budget for that year without Ottilie’s prior consent in text form. Related increases shall be aggregated. Reductions shall not reset previously used headroom. Approval of the original annual budget shall follow the general voting rules and shall not, solely because it exceeds EUR 50,000, require personal consent under this side letter.</w:t>
      </w:r>
    </w:p>
    <w:p>
      <w:r>
        <w:t>2.2 Planned cash expenditure includes operating payments, capital expenditure, service remuneration and scheduled debt repayments. Capital contributions and investment proceeds shall not be netted against expenditure. Private founder costs shall be included only where their assumption is proposed separately. Listing a proposed assumption in a budget shall not itself create a reimbursement claim.</w:t>
      </w:r>
    </w:p>
    <w:p>
      <w:r>
        <w:t>2.3 The founders shall receive the revised budget, its cash implications and the reasons for the change at least five calendar days before the proposed vote. Ottilie shall respond in text form within that period. Silence shall not constitute consent. If she objects, the founders shall discuss the objection before a vote; this draft does not authorise anyone to disregard a required consent.</w:t>
      </w:r>
    </w:p>
    <w:p>
      <w:pPr>
        <w:pStyle w:val="Heading1"/>
        <w:pageBreakBefore/>
      </w:pPr>
      <w:r>
        <w:t>3 Urgent orders within a limited amount</w:t>
      </w:r>
    </w:p>
    <w:p>
      <w:r>
        <w:t>3.1 In addition to action required to prevent immediate significant harm, I propose that an urgent replacement purchase of up to EUR 5,000 gross may proceed where a failed component prevents continuation of the agreed stationary test programme and no working substitute is available. The acting manager must explain the urgency and notify Ottilie before placing the order where practicable, and in all cases within 24 hours. Purchases serving the same repair shall be treated as a single transaction.</w:t>
      </w:r>
    </w:p>
    <w:p>
      <w:r>
        <w:t>3.2 Within 48 hours the acting manager shall provide the order, price and resulting forecast. This exception does not authorise tests on people, public flights or expenditure on a new product line. It grants no authority to sign on behalf of a company that has not yet been formed and does not replace the applicable external representation rules.</w:t>
      </w:r>
    </w:p>
    <w:p>
      <w:pPr>
        <w:pStyle w:val="Heading1"/>
      </w:pPr>
      <w:r>
        <w:t>4 Review when a seed investor enters</w:t>
      </w:r>
    </w:p>
    <w:p>
      <w:r>
        <w:t>4.1 Before signing a future seed investment, the parties shall negotiate whether the personal consent requirement should be replaced by budget approval through an advisory board. No replacement shall take effect merely because an investor requests it. If the parties agree on a replacement, its content, effective date and any necessary corporate implementation must be recorded expressly. Until then, any validly agreed personal consent requirement shall continue.</w:t>
      </w:r>
    </w:p>
    <w:p>
      <w:r>
        <w:t>4.2 This is a contractual commitment concerning the parties’ votes. It is not a general veto over shareholder resolutions, does not change the articles and does not grant Ottilie authority to direct the other manager. Mandatory duties remain unaffected.</w:t>
      </w:r>
    </w:p>
    <w:p>
      <w:pPr>
        <w:pStyle w:val="Heading1"/>
      </w:pPr>
      <w:r>
        <w:t>5 Differences requiring a decision</w:t>
      </w:r>
    </w:p>
    <w:p>
      <w:r>
        <w:t>5.1 My clause 2 covers aggregate increases above an approved annual baseline; Ottilie’s German clause covers the first budget and each subsequent revision whenever the resulting annual total exceeds EUR 50,000. Her circulation period is ten days, while mine is five. Her urgency clause covers prevention of harm; mine additionally includes a narrowly described replacement purchase. These are substantive alternatives and must not be hidden by stating that German prevails.</w:t>
      </w:r>
    </w:p>
    <w:p>
      <w:r>
        <w:t>5.2 The final agreed German text is intended to prevail over its corresponding English translation. Thekla has not approved this English wording. Before execution, one agreed version must be selected and translated consistently. I am circulating this proposal to avoid making an accepted budget unusable; Ottilie has not agreed to my additional purchase exception.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Counterproposal on personal budget consent</dc:title>
  <dc:subject>Schnittflug Robotics – Gründungsunterlagen</dc:subject>
  <dc:creator>Eberhard Demir to all seven founders</dc:creator>
  <cp:keywords/>
  <dc:description>generated by python-docx</dc:description>
  <cp:lastModifiedBy/>
  <cp:revision>1</cp:revision>
  <dcterms:created xsi:type="dcterms:W3CDTF">2026-09-28T09:00:00Z</dcterms:created>
  <dcterms:modified xsi:type="dcterms:W3CDTF">2026-09-28T09:00:00Z</dcterms:modified>
  <cp:category/>
</cp:coreProperties>
</file>