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Bedingungen und Übernahmeentwurf für die Seed Variante</w:t>
      </w:r>
    </w:p>
    <w:p>
      <w:pPr>
        <w:pStyle w:val="Subtitle"/>
      </w:pPr>
      <w:r>
        <w:t>Wolkenwickel Ventures GmbH · Anneliese Stern an den Gründerkreis</w:t>
      </w:r>
    </w:p>
    <w:p>
      <w:r>
        <w:t>28. September 2026 · 15:00 Uhr</w:t>
      </w:r>
    </w:p>
    <w:p>
      <w:r>
        <w:t>Wir präzisieren unser unverbindliches Term Sheet vom 21. September. Gegenstand ist ausschließlich eine mögliche Finanzierung nach erfolgter Gründung. Unser Investmentgremium hat keine Investition beschlossen. Dieses Papier enthält weder eine abgegebene Übernahmeerklärung noch einen Zahlungsabruf. Die geplanten 600.000 EUR dürfen weiter nur als Finanzierungsszenario geführt werden.</w:t>
      </w:r>
    </w:p>
    <w:p>
      <w:pPr>
        <w:pStyle w:val="Heading1"/>
      </w:pPr>
      <w:r>
        <w:t>1 Wirtschaftliche Annahmen</w:t>
      </w:r>
    </w:p>
    <w:p>
      <w:r>
        <w:t>1.1 Wir verhandeln über neue Geschäftsanteile mit insgesamt 5.000 EUR Nennbetrag auf ein zuvor tatsächlich bestehendes Stammkapital von 25.000 EUR. Der Gesamtbetrag von 600.000 EUR setzt sich aus 5.000 EUR Einlage und 595.000 EUR zusätzlichem Aufgeld zusammen. Die Bewertungsannahmen bleiben 3.000.000 EUR vor und 3.600.000 EUR nach der Runde. Eine veränderte Gründungsstruktur erfordert einen neu abgestimmten Vorschlag.</w:t>
      </w:r>
    </w:p>
    <w:p>
      <w:r>
        <w:t>1.2 Die später diskutierten Finanzierungen durch Spree Horizon und Scherenwolke werden hierdurch weder zugesagt noch rechtlich vorbereitet. Ein virtuelles Beteiligungsprogramm mit einer wirtschaftlichen Zielgröße von zehn Prozent ist noch gesondert zu verhandeln; wir behandeln es in diesem Papier nicht als bereits ausgegebenes Stammkapital.</w:t>
      </w:r>
    </w:p>
    <w:p>
      <w:pPr>
        <w:pStyle w:val="Heading1"/>
      </w:pPr>
      <w:r>
        <w:t>2 Voraussetzungen vor einer Bindung</w:t>
      </w:r>
    </w:p>
    <w:p>
      <w:r>
        <w:t>2.1 Vor einem verbindlichen Abschluss verlangen wir die eingetragene Gründungsgesellschaft, ihre aktuelle Gesellschafterliste, die wirksame Geschäftsführungsbestellung und den Nachweis der vereinbarten Gründungseinzahlungen. Die geplante Geschäftsanschrift muss für die beabsichtigte Nutzung geklärt sein. Eine Terminanfrage beim Notariat oder eine Kontoanfrage erfüllt diese Anforderungen nicht.</w:t>
      </w:r>
    </w:p>
    <w:p>
      <w:r>
        <w:t>2.2 Zur Software verlangen wir einen abgegrenzten Rechtebestand mit Entstehungsnachweisen, Fremdlizenzen und dokumentiertem Umgang mit offenen Arbeitgeber- und Hochschulbezügen. Die Erklärung eines Gründers, er habe Dateien privat neu angelegt, genügt uns dafür nicht. Ein ungeklärtes Modul kann nur nach gesonderter Entscheidung aus dem finanzierten Entwicklungsvorhaben herausgenommen oder durch einen tatsächlich verfügbaren Ersatz abgedeckt werden.</w:t>
      </w:r>
    </w:p>
    <w:p>
      <w:r>
        <w:t>2.3 Wir verlangen einen abgestimmten Kosten- und Tätigkeitsplan für die ersten zwölf Monate. Die Gegenforderung von 4.200 EUR für Ottilie sowie der Umfang beider Geschäftsführungstätigkeiten sind darin transparent zu behandeln. Eine Statusentscheidung oder eine Nebentätigkeitsfreigabe darf nicht als vorhanden beschrieben werden, solange sie fehlt. Für den stationären Demonstrator genügt uns eine belastbare Planung der notwendigen Prüfung; eine bereits erreichte Freigabe zum Haarschnitt an Menschen fordern wir nicht.</w:t>
      </w:r>
    </w:p>
    <w:p>
      <w:r>
        <w:t>2.4 Beirat, Budgetzustimmung, Vesting und künftige Informationsrechte müssen vor Abschluss in einem widerspruchsfreien Dokumentensatz vereinbart sein. Die gegenwärtigen Gegenfassungen zum persönlichen Budgetrecht sind uns als offene Verhandlung vorzulegen. Wir erwarten keine pauschale Garantie, dass sämtliche Gründer allen späteren Finanzierungen zustimmen.</w:t>
      </w:r>
    </w:p>
    <w:p>
      <w:pPr>
        <w:pStyle w:val="Heading1"/>
        <w:pageBreakBefore/>
      </w:pPr>
      <w:r>
        <w:t>3 Verhandlungstext der späteren Übernahme</w:t>
      </w:r>
    </w:p>
    <w:p>
      <w:r>
        <w:t>3.1 Für die spätere formgerechte Erklärung schlagen wir folgenden materiellen Inhalt vor: Wolkenwickel Ventures GmbH übernimmt den ihr durch den wirksamen Kapitalerhöhungsbeschluss zugewiesenen neuen Geschäftsanteil mit einem Nennbetrag von 5.000 EUR gegen Bareinlage in gleicher Höhe. Zusätzlich verpflichtet sie sich zur Zahlung eines Aufgelds von 595.000 EUR an die Gesellschaft. Anteilnummer, Beschlussdatum und die tatsächlichen Vertretungsangaben werden erst anhand der dann vorliegenden Unterlagen eingesetzt; eine Erklärung mit diesen Angaben ist heute nicht abgegeben.</w:t>
      </w:r>
    </w:p>
    <w:p>
      <w:r>
        <w:t>3.2 Die Einlage und das vertraglich geschuldete Aufgeld sollen nach wirksamer Übernahme und dokumentiertem Eintritt der vereinbarten Auszahlungsvoraussetzungen innerhalb von zehn Bankarbeitstagen auf das nachgewiesene Gesellschaftskonto gezahlt werden. Der Zahlungsabruf muss die beiden Beträge getrennt ausweisen. Die Gesellschaft soll nach Zahlungseingang die erforderlichen Registerschritte veranlassen. Ein vorgezogener Zahlungsabruf allein auf dieses Papier ist ausgeschlossen.</w:t>
      </w:r>
    </w:p>
    <w:p>
      <w:r>
        <w:t>3.3 Bis zum vollständigen Abschluss der Finanzierungsdokumente darf die Gesellschaft keine Zusage über das Eintreten dieser Voraussetzungen für uns abgeben. Wer den Eintritt bestätigt und welche Unterlagen genügen, muss im Beteiligungsvertrag konkret vereinbart werden. Gesetzlich erforderliche Form und Registervollzug bleiben eigenständige Schritte.</w:t>
      </w:r>
    </w:p>
    <w:p>
      <w:pPr>
        <w:pStyle w:val="Heading1"/>
      </w:pPr>
      <w:r>
        <w:t>4 Noch offene Investorenentscheidungen</w:t>
      </w:r>
    </w:p>
    <w:p>
      <w:r>
        <w:t>4.1 Die Freigabe unseres Investmentgremiums, die Formulierung der Zusicherungen und ihre Haftungsfolgen sind offen. Wir haben keine unbeschränkte persönliche Gründerhaftung als akzeptiert behandelt. Die Gründer sollen zunächst kenntlich machen, welche Tatsachen sie aus eigener Kenntnis bestätigen können und welche Unterlagen erst von Dritten kommen müssen.</w:t>
      </w:r>
    </w:p>
    <w:p>
      <w:r>
        <w:t>4.2 Die nächste Besprechung soll klären, ob der Rechtebestand und die Kostenplanung eine vertiefte Prüfung tragen. Eine Frist, nach deren Ablauf wir automatisch zeichnen oder die Gründer automatisch zustimmen müssten, besteht nicht. Wir benötigen vor einem verbindlichen Schritt außerdem die abschließende interne Entscheidung auf unserer Seite.</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Bedingungen und Übernahmeentwurf für die Seed Variante</dc:title>
  <dc:subject>Schnittflug Robotics – Gründungsunterlagen</dc:subject>
  <dc:creator>Wolkenwickel Ventures GmbH · Anneliese Stern an den Gründerkreis</dc:creator>
  <cp:keywords/>
  <dc:description>generated by python-docx</dc:description>
  <cp:lastModifiedBy/>
  <cp:revision>1</cp:revision>
  <dcterms:created xsi:type="dcterms:W3CDTF">2026-09-28T09:00:00Z</dcterms:created>
  <dcterms:modified xsi:type="dcterms:W3CDTF">2026-09-28T09:00:00Z</dcterms:modified>
  <cp:category/>
</cp:coreProperties>
</file>