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Gegenposition zur Teilnahme an einer späteren Kapitalerhöhung</w:t>
      </w:r>
    </w:p>
    <w:p>
      <w:pPr>
        <w:pStyle w:val="Subtitle"/>
      </w:pPr>
      <w:r>
        <w:t>Kunigunde Nguyen mit Ergänzungen von Wilhelmine Okafor an Eberhard Demir und Thekla Ben-Ami</w:t>
      </w:r>
    </w:p>
    <w:p>
      <w:r>
        <w:t>28. September 2026 · 16:10 Uhr</w:t>
      </w:r>
    </w:p>
    <w:p>
      <w:r>
        <w:t>Ich ergänze das Serie-B-Papier 39 und unsere Nachrichten vom 24. September. Ich kann heute nicht versprechen, in einer späteren Krise genug Geld nachzulegen. Gerade deshalb will ich vor einer Entscheidung die tatsächlichen Konditionen sehen. Der nachstehende Ablauf ist mein Vertragsvorschlag für künftige Runden. Seed, Serie A und Serie B haben nicht stattgefunden.</w:t>
      </w:r>
    </w:p>
    <w:p>
      <w:pPr>
        <w:pStyle w:val="Heading1"/>
      </w:pPr>
      <w:r>
        <w:t>1 Angebot zur anteiligen Teilnahme</w:t>
      </w:r>
    </w:p>
    <w:p>
      <w:r>
        <w:t>1.1 Vor einer beabsichtigten Barkapitalerhöhung sollen die bisherigen Gesellschafter in Textform über Gesamtvolumen, neue Nennbeträge, Einlage, Aufgeld, weitere Leistungen und sämtliche Sonderrechte eines neuen Investors informiert werden. Die Gesellschaft soll jedem Gesellschafter ein Angebot zur Teilnahme im Verhältnis seines dann bestehenden Nennbetrags unterbreiten, soweit nicht für diese konkrete Maßnahme wirksam etwas anderes beschlossen oder vereinbart wird.</w:t>
      </w:r>
    </w:p>
    <w:p>
      <w:r>
        <w:t>1.2 Das Teilnahmeangebot soll mindestens 21 Kalendertage ab Zugang der vollständigen Informationen offenstehen. Die Erklärung des Gesellschafters muss den gewünschten Betrag und seine Finanzierung erkennen lassen. Niemand wird allein durch die Übersendung zur Zeichnung verpflichtet. Die spätere Übernahme in erforderlicher Form bleibt gesondert vorzunehmen. Die Berechnung und Verteilung etwaiger Restbeträge in vollen Euro-Nennbeträgen werden mit dem Angebot offengelegt.</w:t>
      </w:r>
    </w:p>
    <w:p>
      <w:pPr>
        <w:pStyle w:val="Heading1"/>
      </w:pPr>
      <w:r>
        <w:t>2 Antrag auf Ausschluss oder Verkürzung</w:t>
      </w:r>
    </w:p>
    <w:p>
      <w:r>
        <w:t>2.1 Wer die Teilnahme der bisherigen Gesellschafter ausschließen möchte, muss vor der Entscheidung den konkreten Finanzbedarf, die Liquiditätsfrist und die wirtschaftlichen Gründe offenlegen, aus denen eine Teilnahme zu gleichen Bedingungen nicht ausreichen soll. Die Begründung muss die angebotenen Sonderrechte und die absehbare Veränderung der Beteiligungen benennen. Eine bloße Bezugnahme auf übliche Investorenbedingungen genügt im Verhältnis der Parteien nicht.</w:t>
      </w:r>
    </w:p>
    <w:p>
      <w:r>
        <w:t>2.2 Eine kürzere Erklärungsfrist soll nur mit dokumentierter Begründung der konkreten Dringlichkeit vorgeschlagen werden. Die Parteien verpflichten sich nicht, einer Verkürzung oder einem Ausschluss im Voraus zuzustimmen. Vorher sind tatsächlich verfügbare Alternativen mit ihren Kosten und Zeitgrenzen zu erörtern. Ein lediglich erhofftes Darlehen wird dabei nicht als gesicherte Alternative eingerechnet.</w:t>
      </w:r>
    </w:p>
    <w:p>
      <w:r>
        <w:t>2.3 Die geschäftlichen Beziehungen zwischen neuem Investor, Geschäftsführung, Beiratsmitgliedern und Gesellschaftern sind offenzulegen, soweit sie die konkrete Entscheidung beeinflussen können. Abweichende Stellungnahmen sollen den Beschlussunterlagen beigefügt werden. Die Mitwirkung an dieser Diskussion enthält weder Zustimmung noch Verzicht auf eine spätere rechtliche Überprüfung.</w:t>
      </w:r>
    </w:p>
    <w:p>
      <w:pPr>
        <w:pStyle w:val="Heading1"/>
        <w:pageBreakBefore/>
      </w:pPr>
      <w:r>
        <w:t>3 Anwendung auf das diskutierte Krisenszenario</w:t>
      </w:r>
    </w:p>
    <w:p>
      <w:r>
        <w:t>3.1 Das Papier 39 nimmt 40.000 EUR bestehendes Stammkapital nach einer ebenfalls nur modellierten Serie A und 20.000 EUR neue Nennbeträge für Scherenwolke an. Vorgesehen sind insgesamt 1.800.000 EUR, davon 1.780.000 EUR Aufgeld. Ich verlange kein Versprechen einer unveränderten Quote. Ich möchte wissen, ob eine anteilige Teilnahme zu denselben wirtschaftlichen Bedingungen angeboten wird und wer einen abweichenden Vorschlag aus welchem Grund trägt.</w:t>
      </w:r>
    </w:p>
    <w:p>
      <w:r>
        <w:t>3.2 Eberhard hat eine Entscheidung innerhalb von sieben Tagen vorgeschlagen, weil andernfalls in einer künftigen Krise der Betrieb auslaufen könnte. Ich möchte zuerst die Unterlagen sehen, aus denen sich diese sieben Tage ergeben. Heute besteht keine solche Investorenfrist. Wilhelmine verlangt, dass mögliche Vorteile für die technische Leitung, etwa ein neuer Dienstvertrag oder zusätzliche Anteile, im selben Paket offengelegt werden.</w:t>
      </w:r>
    </w:p>
    <w:p>
      <w:r>
        <w:t>3.3 Einen automatischen Ausgleich jeder Verwässerung durch zusätzliche Gründeranteile fordere ich nicht. Eine Preisabsicherung für den Investor darf jedoch nicht nur als Schlagwort in den Anhängen stehen. Werden zusätzliche Anteile oder eine bevorzugte Erlösverteilung verlangt, sollen ihre Bedingungen und Auswirkungen vor der Entscheidung konkret berechnet werden. Ein virtueller Pool wird separat gezeigt und erhält in dieser Darstellung keine Stimmen.</w:t>
      </w:r>
    </w:p>
    <w:p>
      <w:pPr>
        <w:pStyle w:val="Heading1"/>
      </w:pPr>
      <w:r>
        <w:t>4 Vorbehalt der weiteren Einigung</w:t>
      </w:r>
    </w:p>
    <w:p>
      <w:r>
        <w:t>4.1 Eberhard möchte meinen Teilnahmeablauf nur oberhalb eines Finanzierungsvolumens von 250.000 EUR anwenden. Ich halte diese Grenze für ungeeignet, solange auch eine kleinere Runde wesentliche Sonderrechte enthalten kann. Thekla soll beiden Seiten ein Beispiel mit denselben Zahlungsbeträgen vorlegen. Eine Schwelle ist nicht vereinbart.</w:t>
      </w:r>
    </w:p>
    <w:p>
      <w:r>
        <w:t>4.2 Dieser Vorschlag ersetzt weder die künftige Satzung noch den dann notwendigen konkreten Kapitalerhöhungsbeschluss. Er soll vor einer Aufnahme in die Gesellschaftervereinbarung mit deren Mehrheits- und Formregeln abgestimmt werden. Meine heutige Verhandlungsteilnahme ist kein pauschaler Bezugsrechtsverzicht.</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Gegenposition zur Teilnahme an einer späteren Kapitalerhöhung</dc:title>
  <dc:subject>Schnittflug Robotics – Gründungsunterlagen</dc:subject>
  <dc:creator>Kunigunde Nguyen mit Ergänzungen von Wilhelmine Okafor an Eberhard Demir und Thekla Ben-Ami</dc:creator>
  <cp:keywords/>
  <dc:description>generated by python-docx</dc:description>
  <cp:lastModifiedBy/>
  <cp:revision>1</cp:revision>
  <dcterms:created xsi:type="dcterms:W3CDTF">2026-09-28T09:00:00Z</dcterms:created>
  <dcterms:modified xsi:type="dcterms:W3CDTF">2026-09-28T09:00:00Z</dcterms:modified>
  <cp:category/>
</cp:coreProperties>
</file>