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Protokoll der Vertragsbesprechung im Gründerkreis</w:t>
      </w:r>
    </w:p>
    <w:p>
      <w:pPr>
        <w:pStyle w:val="Subtitle"/>
      </w:pPr>
      <w:r>
        <w:t>Thekla Ben-Ami · Notizen zur Rückmeldung an die Beteiligten</w:t>
      </w:r>
    </w:p>
    <w:p>
      <w:r>
        <w:t>28. September 2026 · Besprechung 17:30 bis 18:35 Uhr · Niederschrift 18:42 Uhr</w:t>
      </w:r>
    </w:p>
    <w:p>
      <w:r>
        <w:t>An der Videobesprechung nahmen Ottilie Kühnle, Eberhard Demir, Nepomuk Huber, Wilhelmine Okafor, Alois Rossi und Thekla Ben-Ami von Beginn an teil. Kunigunde Nguyen kam um 17:44 hinzu. Frau Dr. Wolfram und das Notariat nahmen nicht teil. Wir haben die Entwürfe besprochen und Unterlagen verteilt; es wurden keine Gesellschafterbeschlüsse gefasst und keine Verträge geschlossen. Ich bitte um Korrektur meiner Zuordnung, falls ich eine Aussage unzutreffend notiert habe.</w:t>
      </w:r>
    </w:p>
    <w:p>
      <w:pPr>
        <w:pStyle w:val="Heading1"/>
      </w:pPr>
      <w:r>
        <w:t>1 Mehrheit und persönliches Budgetrecht</w:t>
      </w:r>
    </w:p>
    <w:p>
      <w:r>
        <w:t>1.1 Ottilie wollte die Kapitalbasis aus Dokument 100 verwenden. Eberhard hielt an den abgegebenen Stimmen und einer zweiten Versammlung ohne Mindestanwesenheit fest. Nepomuk fragte, was passiert, wenn ihm während einer Kundin die Videoverbindung abbricht. Es wurde keine der beiden Fassungen ausgewählt. Ich soll Frau Dr. Wolfram beide Versionen statt einer bereits bereinigten Satzung weitergeben.</w:t>
      </w:r>
    </w:p>
    <w:p>
      <w:r>
        <w:t>1.2 Ottilie erläuterte, dass sie mit Budget über 50.000 EUR das gesamte Jahresbudget meinte. Eberhard hatte Nummer 3.1 der Gesellschaftervereinbarung als Freiheit innerhalb eines einmal gebilligten Budgets verstanden, mit persönlicher Zustimmung erst bei einer Erhöhung um mehr als 50.000 EUR. Beide erkannten an, dass der deutsche Sideletter vom 27. September und Eberhards englische Antwort von heute deshalb verschiedene Regelungen enthalten.</w:t>
      </w:r>
    </w:p>
    <w:p>
      <w:r>
        <w:t>1.3 Wilhelmine lehnte ab, den Streit über den Vorrang der deutschen Sprache zu lösen. Wir sollen eine einzige inhaltliche Entscheidung treffen und erst danach die Sprachfassungen angleichen. Ottilie akzeptierte keine automatische Ersetzung ihres Rechts durch einen Seed-Beirat. Eberhard sagte, sein englischer Text enthalte deshalb inzwischen nur eine Verhandlungspflicht vor dem Seed und keinen automatischen Wegfall.</w:t>
      </w:r>
    </w:p>
    <w:p>
      <w:pPr>
        <w:pStyle w:val="Heading1"/>
      </w:pPr>
      <w:r>
        <w:t>2 Mitarbeit und Vergütung</w:t>
      </w:r>
    </w:p>
    <w:p>
      <w:r>
        <w:t>2.1 Ottilie hielt an 4.200 EUR bei durchschnittlich 32 Stunden und zwölf Wochen Fortzahlung bei Krankheit fest. Eberhard nannte erneut 3.500 EUR als bisherigen Planwert und wollte sechs Wochen Fortzahlung. Nepomuk bat, den monatlichen Geldbedarf beider Varianten neben dem Kapitalbedarf zu zeigen. Niemand sagte zu, einen Vergütungsunterschied privat vorzufinanzieren.</w:t>
      </w:r>
    </w:p>
    <w:p>
      <w:r>
        <w:t>2.2 Ottilie bestätigte ihre derzeitigen 30 Wochenstunden beim bisherigen Arbeitgeber und die fehlende schriftliche Freigabe. Sie möchte nicht erklären, dass die künftige Tätigkeit schon tatsächlich so organisiert sei, wie sie im Gegenentwurf steht. Die Gruppe hat ihr keinen bestimmten Sozialversicherungsstatus bescheinigt und keine Änderung ihrer vorgesehenen Quote von 21 Prozent vereinbart.</w:t>
      </w:r>
    </w:p>
    <w:p>
      <w:pPr>
        <w:pStyle w:val="Heading1"/>
      </w:pPr>
      <w:r>
        <w:t>3 Vorarbeit Krankheit und Ausscheiden</w:t>
      </w:r>
    </w:p>
    <w:p>
      <w:r>
        <w:t>3.1 Kunigunde war bei der ersten Diskussion zur Mehrheit noch nicht dabei und bat nach ihrem Eintritt um die Unterlagen. Sie widersprach Eberhards Vorschlag, sechs Monate nur für zwei technische Beiträge anzurechnen. Sie wolle zuerst sehen, welche Rechte überhaupt verfügbar seien. Nepomuk hielt entgegen, dass seine Facharbeit nicht hinter einem technischen Zeitnachweis verschwinden dürfe.</w:t>
      </w:r>
    </w:p>
    <w:p>
      <w:r>
        <w:t>3.2 Alois verlangte, dass Krankheit nicht sofort die laufende Freigabe stoppt. Sein Vorschlag bleibt sechs Monate, Eberhards Angebot sechs Wochen. Der Preis für bereits freigegebene Anteile bei einem behaupteten schlechten Ausstieg blieb ebenso offen wie die Finanzierung eines Rückkaufs. Die Gruppe hat keine Person bereits als Good oder Bad Leaver eingeordnet.</w:t>
      </w:r>
    </w:p>
    <w:p>
      <w:pPr>
        <w:pStyle w:val="Heading1"/>
      </w:pPr>
      <w:r>
        <w:t>4 Geld und künftige Runden</w:t>
      </w:r>
    </w:p>
    <w:p>
      <w:r>
        <w:t>4.1 Nepomuk stellte klar, dass das Darlehenspapier 105 seine Mittelprüfung noch nicht ersetzt. Die 8.000 EUR dürfen nicht als verfügbarer Bankbestand und nicht als Gründungseinlage angesetzt werden. Eberhard will den Entwicklungsauftrag über 18.000 EUR netto beziehungsweise 21.420 EUR brutto weiter vorbereiten, hat aber nach eigener Auskunft weiterhin keine Bestellung erteilt.</w:t>
      </w:r>
    </w:p>
    <w:p>
      <w:r>
        <w:t>4.2 Die Bedingungen von Wolkenwickel in Dokument 106 wurden zur Kenntnis genommen. Ottilie widersprach einer Fristplanung, die Arbeitgeberantworten und Registereintragung als sichere Termine behandelt. Kunigunde verwies auf Dokument 107 und lehnte einen heutigen pauschalen Ausschluss ihrer Teilnahme an späteren Kapitalerhöhungen ab. Eberhard möchte eine schnellere Entscheidung im Krisenfall; eine konkret verfügbare Krisenfinanzierung wurde nicht behauptet.</w:t>
      </w:r>
    </w:p>
    <w:p>
      <w:pPr>
        <w:pStyle w:val="Heading1"/>
      </w:pPr>
      <w:r>
        <w:t>5 Rechte und nächste Unterlagen</w:t>
      </w:r>
    </w:p>
    <w:p>
      <w:r>
        <w:t>5.1 Eberhard erläuterte die Antwort von Kranich. Er hatte zunächst gesagt, man werde die Dateien wohl freigeben. Nach Vorlesen des Schreibens hielt er fest, dass die Antwort noch keine Freigabe enthält. Er soll Dateiverzeichnis und Entstehungsangaben ergänzen. Kunigundes Hochschulbezug bleibt davon getrennt und wird nicht durch eine Antwort an Eberhard erledigt.</w:t>
      </w:r>
    </w:p>
    <w:p>
      <w:r>
        <w:t>5.2 Ottilie übernimmt die Kostenvarianten und die Liste der noch fehlenden Konto- und Adressunterlagen. Eberhard überarbeitet die Abgrenzung der Werkstattbestellungen. Kunigunde und Alois sollen ihre Leaver-Gegenfassung gemeinsam mit den Fragen zur Krankheit zurückgeben. Ich stelle die deutsche und englische Budgetfassung mit ihren unterschiedlichen Fristen für die nächste gemeinsame Entscheidung zusammen.</w:t>
      </w:r>
    </w:p>
    <w:p>
      <w:r>
        <w:t>5.3 Für das Notariat bleibt es bei der unbestätigten Anfrage für den 15. Oktober. Zum Ende dieser Besprechung gibt es keine beurkundete Gesellschaft, kein eröffnetes Gesellschaftskonto, keine eingezahlten Einlagen und keinen Registerantrag. Die Notizen werden als Besprechungsstand mit Korrekturmöglichkeit versandt; Schweigen soll keine Zustimmung zu offenen Klauseln bedeuten.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Vertragsbesprechung im Gründerkreis</dc:title>
  <dc:subject>Schnittflug Robotics – Gründungsunterlagen</dc:subject>
  <dc:creator>Thekla Ben-Ami · Notizen zur Rückmeldung an die Beteiligten</dc:creator>
  <cp:keywords/>
  <dc:description>generated by python-docx</dc:description>
  <cp:lastModifiedBy/>
  <cp:revision>1</cp:revision>
  <dcterms:created xsi:type="dcterms:W3CDTF">2026-09-28T09:00:00Z</dcterms:created>
  <dcterms:modified xsi:type="dcterms:W3CDTF">2026-09-28T09:00:00Z</dcterms:modified>
  <cp:category/>
</cp:coreProperties>
</file>