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Gegenentwurf zur Freigabe von Entwicklungsbestellungen</w:t>
      </w:r>
    </w:p>
    <w:p>
      <w:pPr>
        <w:pStyle w:val="Subtitle"/>
      </w:pPr>
      <w:r>
        <w:t>Eberhard Demir an Ottilie Kühnle und den Gründerkreis</w:t>
      </w:r>
    </w:p>
    <w:p>
      <w:r>
        <w:t>28. September 2026 · 16:35 Uhr</w:t>
      </w:r>
    </w:p>
    <w:p>
      <w:r>
        <w:t>Ich möchte die Geschäftsordnung 33 vom 27. September an einigen Stellen ändern. Der geplante Auftrag über 18.000 EUR netto beziehungsweise 21.420 EUR brutto zeigt das Problem: Der Dienstleister braucht einen Vertragspartner und eine klare Antwort. Ich habe weder bestellt noch eine Anzahlung zugesagt. Dieser Gegenentwurf soll erst nach Gründung und wirksamer Beschlussfassung gelten.</w:t>
      </w:r>
    </w:p>
    <w:p>
      <w:pPr>
        <w:pStyle w:val="Heading1"/>
      </w:pPr>
      <w:r>
        <w:t>1 Beschaffungen im genehmigten Budget</w:t>
      </w:r>
    </w:p>
    <w:p>
      <w:r>
        <w:t>1.1 Nummer 3.1 soll lauten: Innerhalb eines ausdrücklich genehmigten Entwicklungsbudgets darf der technische Geschäftsführer fachlich notwendige Beschaffungen bis zu 5.000 EUR brutto je wirtschaftlich zusammenhängendem Vorgang intern freigeben. Die Freigabe muss Besteller, Gegenstand, Höchstbetrag, Budgetposition und vorgesehene Fälligkeit nennen. Sie ersetzt keine erforderliche Unterschrift eines weiteren Vertreters nach der geltenden Vertretungsregel.</w:t>
      </w:r>
    </w:p>
    <w:p>
      <w:r>
        <w:t>1.2 Beschaffungen von mehr als 5.000 EUR brutto sowie neue Verpflichtungen außerhalb eines genehmigten Budgets bedürfen der vorherigen Zustimmung beider Geschäftsführer. Ab 15.000 EUR brutto ist zusätzlich die Gesellschafterversammlung zu befassen. Mehrere Verträge mit demselben wirtschaftlichen Zweck werden zusammengerechnet. Eine Aufteilung in Entwicklung, Material und Abnahme verringert die Freigabestufe nicht.</w:t>
      </w:r>
    </w:p>
    <w:p>
      <w:r>
        <w:t>1.3 Ich möchte eine zusätzliche Regel: Bei wiederkehrenden Abrufen auf einen bereits genehmigten Rahmenvertrag genügt die dokumentierte Prüfung, dass Gegenstand, Gesamthöchstbetrag und Laufzeit eingehalten werden. Eine Verlängerung oder Erhöhung des Rahmens bedarf einer neuen Freigabe. Ottilie hat hierzu noch nicht zugestimmt; sie möchte vorab wissen, ob die Abrufe die monatliche Liquiditätsplanung verändern.</w:t>
      </w:r>
    </w:p>
    <w:p>
      <w:pPr>
        <w:pStyle w:val="Heading1"/>
      </w:pPr>
      <w:r>
        <w:t>2 Prüfung und Antwortzeiten</w:t>
      </w:r>
    </w:p>
    <w:p>
      <w:r>
        <w:t>2.1 Der antragstellende Geschäftsführer legt das konkrete Angebot mit Leistungsbeschreibung, Zahlungsplan, Rechten an Ergebnissen und Kündigungsbedingungen vor. Ottilie prüft die kaufmännische Einordnung und die geplanten Zahlungen; Eberhard prüft den fachlichen Umfang. Jede Seite soll innerhalb von drei Arbeitstagen antworten oder die für ihre Entscheidung fehlenden Angaben benennen. Schweigen ersetzt keine erforderliche Freigabe.</w:t>
      </w:r>
    </w:p>
    <w:p>
      <w:r>
        <w:t>2.2 Bei Uneinigkeit wird der Vorgang mit beiden Auffassungen an die Gesellschafterversammlung gegeben. Bis zu deren Entscheidung darf keine bindende Bestellung abgegeben werden, soweit nicht eine gesetzlich gebotene Maßnahme erforderlich ist. Die fehlende Antwort eines Geschäftsführers schafft keine zusätzliche Außenvertretungsbefugnis.</w:t>
      </w:r>
    </w:p>
    <w:p>
      <w:r>
        <w:t>2.3 Der Entwicklungsauftrag über 18.000 EUR netto beziehungsweise 21.420 EUR brutto würde nach meinem Vorschlag beide Geschäftsführer und die Gesellschafterversammlung befassen. Die derzeitige Vorgründungsphase wird davon nicht erfasst. Ich möchte den Auftrag so vorbereiten, dass nach Klärung des Vertragspartners über einen vollständigen Text entschieden werden kann; ich verlange keine rückwirkende Genehmigung einer heimlichen Bestellung.</w:t>
      </w:r>
    </w:p>
    <w:p>
      <w:pPr>
        <w:pStyle w:val="Heading1"/>
        <w:pageBreakBefore/>
      </w:pPr>
      <w:r>
        <w:t>3 Dringende Ersatzbeschaffung</w:t>
      </w:r>
    </w:p>
    <w:p>
      <w:r>
        <w:t>3.1 Für den Ausfall eines Bauteils im bereits vereinbarten stationären Prüfprogramm schlage ich eine zusätzliche interne Freigabe bis 5.000 EUR brutto vor, wenn kein brauchbarer Ersatz vorhanden ist und weiteres Warten das Programm unterbrechen würde. Grund und Kosten sind Ottilie nach Möglichkeit vorher, in jedem Fall binnen 24 Stunden mitzuteilen. Binnen 48 Stunden sind Auftrag und aktualisierte Prognose vorzulegen.</w:t>
      </w:r>
    </w:p>
    <w:p>
      <w:r>
        <w:t>3.2 Diese Ausnahme gilt nicht für eine Ausweitung auf Versuche an Personen, Flüge oder eine neue Produktfunktion. Sie ersetzt weder die technische Freigabe noch notwendige Versicherungs- oder Rechteklärung. Eine gleichzeitig notwendige Zustimmung nach einem wirksam vereinbarten persönlichen Budgetrecht muss gesondert geklärt werden.</w:t>
      </w:r>
    </w:p>
    <w:p>
      <w:r>
        <w:t>3.3 Ottilie hält die Formulierung Programm unterbrechen für zu weit und möchte nur unmittelbar drohende Schäden erfassen. Ich halte dagegen, dass eine dreiwöchige Wartezeit auf ein Standardteil auch ohne Sachschaden Geld kostet. Diese Differenz entspricht dem Sideletter-Streit und soll nicht durch Annahme dieser Geschäftsordnung nebenbei entschieden werden.</w:t>
      </w:r>
    </w:p>
    <w:p>
      <w:pPr>
        <w:pStyle w:val="Heading1"/>
      </w:pPr>
      <w:r>
        <w:t>4 Vertretung und täglicher Zahlungsablauf</w:t>
      </w:r>
    </w:p>
    <w:p>
      <w:r>
        <w:t>4.1 Ich wünsche weiterhin Einzelvertretung für den Alltag. Die Bestellgrenzen in diesem Papier verleihen sie mir nicht. Solange es bei gemeinschaftlicher Vertretung bleibt, werden Angebote und Unterschriften so eingeholt, dass beide Vertreter denselben endgültigen Text bestätigen. Eine Freigabe im Teamchat ist nicht als Unterschrift der Gesellschaft zu verwenden.</w:t>
      </w:r>
    </w:p>
    <w:p>
      <w:r>
        <w:t>4.2 Die zweite Zahlungsfreigabe für neue Empfänger und Beträge über 2.500 EUR aus Nummer 4.2 der bisherigen Ordnung akzeptiere ich als Plan. Ich möchte nach Einrichtung des Kontos lediglich sehen, wie sie ohne Weitergabe persönlicher Bankzugänge funktioniert. Die Bank hat eine solche Berechtigung noch nicht eingerichtet.</w:t>
      </w:r>
    </w:p>
    <w:p>
      <w:r>
        <w:t>4.3 Die übrigen Nummern der Geschäftsordnung vom 27. September bleiben Verhandlungsgrundlage. Die Beschlussfassung soll erst erfolgen, wenn Satzung, Bestellung und Budgetnebenabrede aufeinander abgestimmt sind. Mit diesem Papier beauftrage ich weder den Entwicklungsdienstleister noch eine andere Person, bereits für Schnittflug zu unterschreiben.</w:t>
      </w:r>
    </w:p>
    <w:sectPr w:rsidR="00FC693F" w:rsidRPr="0006063C" w:rsidSect="00034616">
      <w:footerReference w:type="default" r:id="rId9"/>
      <w:pgSz w:w="11906" w:h="16838"/>
      <w:pgMar w:top="1134"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sz w:val="18"/>
      </w:rPr>
      <w:t xml:space="preserve">Schnittflug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Gegenentwurf zur Freigabe von Entwicklungsbestellungen</dc:title>
  <dc:subject>Schnittflug Robotics – Gründungsunterlagen</dc:subject>
  <dc:creator>Eberhard Demir an Ottilie Kühnle und den Gründerkreis</dc:creator>
  <cp:keywords/>
  <dc:description>generated by python-docx</dc:description>
  <cp:lastModifiedBy/>
  <cp:revision>1</cp:revision>
  <dcterms:created xsi:type="dcterms:W3CDTF">2026-09-28T09:00:00Z</dcterms:created>
  <dcterms:modified xsi:type="dcterms:W3CDTF">2026-09-28T09:00:00Z</dcterms:modified>
  <cp:category/>
</cp:coreProperties>
</file>