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18 — Übungsklausur: Fallabwandlung I</w:t>
      </w:r>
    </w:p>
    <w:p>
      <w:pPr>
        <w:jc w:val="left"/>
      </w:pPr>
      <w:r>
        <w:t>Universität Bonn — Übung im Bürgerlichen Recht, WS 2026/27, Fall 14</w:t>
      </w:r>
    </w:p>
    <w:p>
      <w:pPr>
        <w:jc w:val="left"/>
      </w:pPr>
      <w:r>
        <w:t>Kursbetreuung: Prof. Dr. Henrietta Meckenheim</w:t>
      </w:r>
    </w:p>
    <w:p>
      <w:pPr>
        <w:pStyle w:val="Heading2"/>
      </w:pPr>
      <w:r>
        <w:rPr>
          <w:rFonts w:ascii="Times New Roman" w:hAnsi="Times New Roman"/>
        </w:rPr>
        <w:t>Sachverhalt — Abwandlung I</w:t>
      </w:r>
    </w:p>
    <w:p>
      <w:pPr>
        <w:jc w:val="left"/>
      </w:pPr>
      <w:r>
        <w:t>Lars Tannenmoor (T) und Veit Sauer-Hellbrunn (S) schließen denselben Werkvertrag wie im Ausgangsfall. Abweichend: T weiß, dass S mit dem Radarwarner nicht nur auf deutschen Autobahnen, sondern auch bei organisierten Fahrevents auf der Rennstrecke fahren möchte. Die Parteien vereinbaren im Vertrag ausdrücklich: „Das Gerät ist nur für den Betrieb auf nicht-öffentlichen Straßen und Rennstrecken bestimmt." Wenig später verwendet S das Gerät dennoch auf der Bundesstraße.</w:t>
      </w:r>
    </w:p>
    <w:p>
      <w:pPr>
        <w:pStyle w:val="Heading2"/>
      </w:pPr>
      <w:r>
        <w:rPr>
          <w:rFonts w:ascii="Times New Roman" w:hAnsi="Times New Roman"/>
        </w:rPr>
        <w:t>Fragen</w:t>
      </w:r>
    </w:p>
    <w:p>
      <w:pPr>
        <w:pStyle w:val="ListNumber"/>
      </w:pPr>
      <w:r>
        <w:t>Ist der Werkvertrag zwischen T und S wirksam?</w:t>
      </w:r>
    </w:p>
    <w:p>
      <w:pPr>
        <w:pStyle w:val="ListNumber"/>
      </w:pPr>
      <w:r>
        <w:t>Hat T einen Werklohnanspruch?</w:t>
      </w:r>
    </w:p>
    <w:p>
      <w:pPr>
        <w:pStyle w:val="ListNumber"/>
      </w:pPr>
      <w:r>
        <w:t>Ändert sich das Ergebnis, wenn die Parteien in Kenntnis des Verbots für den öffentlichen Straßenverkehr ausdrücklich vereinbaren, das Gerät auch dort einzusetzen?</w:t>
      </w:r>
    </w:p>
    <w:p>
      <w:pPr>
        <w:pStyle w:val="Heading2"/>
      </w:pPr>
      <w:r>
        <w:rPr>
          <w:rFonts w:ascii="Times New Roman" w:hAnsi="Times New Roman"/>
        </w:rPr>
        <w:t>Bearbeitungszeit und Hinweise</w:t>
      </w:r>
    </w:p>
    <w:p>
      <w:pPr>
        <w:jc w:val="left"/>
      </w:pPr>
      <w:r>
        <w:t>Bearbeitungszeit: 60 Minuten. Gutachtenstil. Schwerpunkt: Methodenanwendung, nicht Ergebnisrichtigkeit. Zitieren Sie mindestens zwei der vier Auslegungskanones sowie eine BGH-Entscheidung.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Paragraf  134 BGB: https://dejure.org/gesetze/BGB/134.html</w:t>
      </w:r>
    </w:p>
    <w:p>
      <w:pPr>
        <w:pStyle w:val="ListBullet"/>
      </w:pPr>
      <w:r>
        <w:t>BGH VII ZR 235/15: https://www.bundesgerichtshof.de/</w:t>
      </w:r>
    </w:p>
    <w:p>
      <w:pPr>
        <w:pStyle w:val="ListBullet"/>
      </w:pPr>
      <w:r>
        <w:t>Paragraf  23 StVO: https://dejure.org/gesetze/StVO/23.html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