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Übungsklausur: Fallabwandlung II</w:t>
      </w:r>
    </w:p>
    <w:p>
      <w:pPr>
        <w:jc w:val="left"/>
      </w:pPr>
      <w:r>
        <w:t>Universität Bonn — Übung im Bürgerlichen Recht, WS 2026/27, Fall 14</w:t>
      </w:r>
    </w:p>
    <w:p>
      <w:pPr>
        <w:jc w:val="left"/>
      </w:pPr>
      <w:r>
        <w:t>Kursbetreuung: Prof. Dr. Henrietta Meckenheim</w:t>
      </w:r>
    </w:p>
    <w:p>
      <w:pPr>
        <w:pStyle w:val="Heading2"/>
      </w:pPr>
      <w:r>
        <w:rPr>
          <w:rFonts w:ascii="Times New Roman" w:hAnsi="Times New Roman"/>
        </w:rPr>
        <w:t>Sachverhalt — Abwandlung II</w:t>
      </w:r>
    </w:p>
    <w:p>
      <w:pPr>
        <w:jc w:val="left"/>
      </w:pPr>
      <w:r>
        <w:t>Wie Ausgangsfall, aber: Tannenmoor (T) weiß nicht, dass Radarwarner im öffentlichen Straßenverkehr verboten sind (grobe Fahrlässigkeit). Er glaubt, das Gerät sei in Deutschland zulässig. S zahlt nach der Polizeikontrolle nicht. T verlangt als Hauptantrag den Werklohn (2.380 EUR), hilfsweise Wertersatz aus ungerechtfertigter Bereicherung (Paragraf  812 Abs. 1 S. 1 Alt. 1 BGB).</w:t>
      </w:r>
    </w:p>
    <w:p>
      <w:pPr>
        <w:jc w:val="left"/>
      </w:pPr>
      <w:r>
        <w:t>Zusatz: S hat durch die Sicherstellung des Geräts einen Schaden von 850 EUR (Gerätewert) erlitten. Er verlangt von T Schadensersatz.</w:t>
      </w:r>
    </w:p>
    <w:p>
      <w:pPr>
        <w:pStyle w:val="Heading2"/>
      </w:pPr>
      <w:r>
        <w:rPr>
          <w:rFonts w:ascii="Times New Roman" w:hAnsi="Times New Roman"/>
        </w:rPr>
        <w:t>Fragen</w:t>
      </w:r>
    </w:p>
    <w:p>
      <w:pPr>
        <w:pStyle w:val="ListNumber"/>
      </w:pPr>
      <w:r>
        <w:t>Kommt es für Paragraf  134 BGB auf das Wissen des T vom Verbotscharakter an?</w:t>
      </w:r>
    </w:p>
    <w:p>
      <w:pPr>
        <w:pStyle w:val="ListNumber"/>
      </w:pPr>
      <w:r>
        <w:t>Kann T hilfsweise Wertersatz aus Paragraf  812 BGB verlangen?</w:t>
      </w:r>
    </w:p>
    <w:p>
      <w:pPr>
        <w:pStyle w:val="ListNumber"/>
      </w:pPr>
      <w:r>
        <w:t>Hat S einen Schadensersatzanspruch gegen T?</w:t>
      </w:r>
    </w:p>
    <w:p>
      <w:pPr>
        <w:pStyle w:val="Heading2"/>
      </w:pPr>
      <w:r>
        <w:rPr>
          <w:rFonts w:ascii="Times New Roman" w:hAnsi="Times New Roman"/>
        </w:rPr>
        <w:t>Bearbeitungszeit</w:t>
      </w:r>
    </w:p>
    <w:p>
      <w:pPr>
        <w:jc w:val="left"/>
      </w:pPr>
      <w:r>
        <w:t>90 Minuten. Schwerpunkt: Paragrafen  134, 817 BGB; Bereicherungsrecht; Schutzgesetzcharakter.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Paragrafen  134, 812, 817, 818, 823, 826 BGB: https://dejure.org/gesetze/BGB/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