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Notizen zum RaaS-Vertrag</w:t>
      </w:r>
    </w:p>
    <w:p>
      <w:pPr>
        <w:jc w:val="left"/>
      </w:pPr>
      <w:r>
        <w:t>Akte: Akte Vellbruck Robotics GmbH — Roboterflotte AtlasCare / LumaMove / Werkbank C7. Stand: 04.06.2026, interne Arbeitsfassung der Kanzlei Hagemann Rottkamp &amp; Partner.</w:t>
      </w:r>
    </w:p>
    <w:p>
      <w:pPr>
        <w:pStyle w:val="ListBullet"/>
      </w:pPr>
      <w:r>
        <w:t>Das SLA nennt eine Frist von 72 Stunden für sicherheitsrelevante Updates. Der Kunde soll das Wartungsfenster bestätigen. Für Patch 2.7.1 liegt diese Bestätigung in der Vertragsmappe nicht vor.</w:t>
      </w:r>
    </w:p>
    <w:p>
      <w:pPr>
        <w:pStyle w:val="ListBullet"/>
      </w:pPr>
      <w:r>
        <w:t>Ziffer 7 enthält ein Verbot der Änderung von Sicherheitsparametern durch den Betreiber. Im ausgelieferten Admin-Menü waren die Parameter mit der Standardrolle erreichbar.</w:t>
      </w:r>
    </w:p>
    <w:p>
      <w:pPr>
        <w:pStyle w:val="ListBullet"/>
      </w:pPr>
      <w:r>
        <w:t>Zum Datenzugang liegt eine Anfrage des Betriebsrats vor. Vellbruck kann nach der Vertragsfassung Event- und Telemetriedaten abrufen. Eine gesonderte Vereinbarung zur Weitergabe von Auswertungen an den Betreiber ist in der Vertragsmappe nicht enthalten.</w:t>
      </w:r>
    </w:p>
    <w:p>
      <w:pPr>
        <w:jc w:val="left"/>
      </w:pPr>
      <w:r>
        <w:t>Der Vertrag überlässt die LumaMove-Flotte gegen monatliche Vergütung einschließlich Wartung und Updates; Ziffer 7 verbietet Änderungen an Sicherheitsparametern durch den Betreiber, Ziffer 9 begrenzt die Haftung auf den Auftragswert von zwölf Monaten.</w:t>
      </w:r>
    </w:p>
    <w:p>
      <w:pPr>
        <w:jc w:val="left"/>
      </w:pPr>
      <w:r>
        <w:t>Der Betreiber hat mit E-Mail vom 30.05.2026 eingeräumt, das Admin-Menü genutzt zu haben, beruft sich aber darauf, nichts Unerlaubtes getan zu haben, weil das Menü frei zugänglich war.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