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 der Unterlagen zur Konformitätserklärung</w:t>
      </w:r>
    </w:p>
    <w:p>
      <w:pPr>
        <w:jc w:val="left"/>
      </w:pPr>
      <w:r>
        <w:t>Akte: Akte Vellbruck Robotics GmbH — Roboterflotte AtlasCare / LumaMove / Werkbank C7. Stand: 16.06.2026, interne Arbeitsfassung der Kanzlei Hagemann Rottkamp &amp; Partner.</w:t>
      </w:r>
    </w:p>
    <w:p>
      <w:pPr>
        <w:jc w:val="left"/>
      </w:pPr>
      <w:r>
        <w:t>Der Entwurf nennt weder den Unterzeichner noch eine abgeschlossene Normenliste; ausgeliefert wurde die Flotte gleichwohl mit CE-Kennzeichnung, gestützt auf eine ältere Erklärung der Vorgängerbaureihe.</w:t>
      </w:r>
    </w:p>
    <w:p>
      <w:pPr>
        <w:jc w:val="left"/>
      </w:pPr>
      <w:r>
        <w:t>Für die Werkbank C7 existiert eine unterzeichnete Erklärung, deren Normenstand vor dem letzten Softwareupdate liegt.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