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59" w:lineRule="auto"/>
      </w:pPr>
      <w:r>
        <w:t>Mainfrucht Spezialitätenhandel GmbH</w:t>
        <w:br/>
        <w:t>Kranichstraße 24, 90441 Nürnberg</w:t>
      </w:r>
    </w:p>
    <w:p>
      <w:pPr>
        <w:spacing w:after="140" w:line="259" w:lineRule="auto"/>
        <w:jc w:val="right"/>
      </w:pPr>
      <w:r>
        <w:t>Erlangen, 24. November 2023</w:t>
      </w:r>
    </w:p>
    <w:p>
      <w:pPr>
        <w:pStyle w:val="Title"/>
        <w:spacing w:after="140" w:line="259" w:lineRule="auto"/>
      </w:pPr>
      <w:r>
        <w:t>Mietvertrag Lager Erlangen</w:t>
      </w:r>
    </w:p>
    <w:p>
      <w:pPr>
        <w:spacing w:after="140" w:line="259" w:lineRule="auto"/>
      </w:pPr>
      <w:r>
        <w:t>BG / Mietobjekt E-18 / MF</w:t>
      </w:r>
    </w:p>
    <w:p>
      <w:pPr>
        <w:pStyle w:val="Heading1"/>
        <w:spacing w:after="140" w:line="259" w:lineRule="auto"/>
      </w:pPr>
      <w:r>
        <w:t>1 Mietgegenstand und Nutzung</w:t>
      </w:r>
    </w:p>
    <w:p>
      <w:pPr>
        <w:spacing w:after="140" w:line="259" w:lineRule="auto"/>
      </w:pPr>
      <w:r>
        <w:t>Die Brucker Gewerbehof GmbH, vertreten durch Tessa Albrecht, vermietet an Mainfrucht Spezialitätenhandel GmbH, vertreten durch Mara Eichenfels, die Halle E-18 am Brucker Hofweg 18 in Erlangen. Vermietet werden 1.450 Quadratmeter einschließlich einer abgetrennten Klimazone, zwei Rolltoren, Sozialraum und Ladebereich. Die Flächen dienen der Lagerung und dem Umschlag verpackter Lebensmittel. Eine eigene Lebensmittelproduktion ist nicht vereinbart.</w:t>
      </w:r>
    </w:p>
    <w:p>
      <w:pPr>
        <w:spacing w:after="140" w:line="259" w:lineRule="auto"/>
      </w:pPr>
      <w:r>
        <w:t>Die Übergabe erfolgt am 2. Januar 2024. Das Mietverhältnis beginnt am 1. Januar 2024 und endet am 31. Dezember 2028. Eine ordentliche Kündigung während dieser Festlaufzeit ist ausgeschlossen. Eine Untervermietung oder Änderung der Nutzung bedarf der vorherigen Zustimmung der Vermieterin.</w:t>
      </w:r>
    </w:p>
    <w:p>
      <w:pPr>
        <w:pStyle w:val="Heading1"/>
        <w:spacing w:after="140" w:line="259" w:lineRule="auto"/>
      </w:pPr>
      <w:r>
        <w:t>2 Miete und laufende Kosten</w:t>
      </w:r>
    </w:p>
    <w:p>
      <w:pPr>
        <w:spacing w:after="140" w:line="259" w:lineRule="auto"/>
      </w:pPr>
      <w:r>
        <w:t>Die monatliche Nettomiete beträgt 10.000,00 EUR. Die Vermieterin berechnet darauf 19 Prozent Umsatzsteuer, somit 1.900,00 EUR; der monatlich zu zahlende Betrag beträgt 11.900,00 EUR. Er ist jeweils am dritten Bankarbeitstag eines Monats auf die in der Monatsrechnung genannte Bankverbindung zu überweisen. Eine automatische jährliche Erhöhung wird nicht vereinbart.</w:t>
      </w:r>
    </w:p>
    <w:p>
      <w:pPr>
        <w:spacing w:after="140" w:line="259" w:lineRule="auto"/>
      </w:pPr>
      <w:r>
        <w:t>Strom und Klimatisierung rechnet die Mieterin aufgrund ihres eigenen Versorgungsvertrags ab. Lagerreinigung, Umschlagsleistungen und betriebliche Wartung der eigenen Flurförderzeuge sind nicht in der Miete enthalten. Das Büro in Nürnberg ist nicht Gegenstand dieses Vertrags.</w:t>
      </w:r>
    </w:p>
    <w:p>
      <w:pPr>
        <w:pStyle w:val="Heading1"/>
        <w:spacing w:after="140" w:line="259" w:lineRule="auto"/>
      </w:pPr>
      <w:r>
        <w:t>3 Sicherheit und Einbauten</w:t>
      </w:r>
    </w:p>
    <w:p>
      <w:pPr>
        <w:spacing w:after="140" w:line="259" w:lineRule="auto"/>
      </w:pPr>
      <w:r>
        <w:t>Die Mieterin leistet vor Übergabe eine Kaution von 25.000,00 EUR. Diese Sicherheit wird getrennt vom laufenden Mietkonto verbucht und darf während des Mietverhältnisses nicht als laufende Mietzahlung verwendet werden. Nach Beendigung wird über die Sicherheit nach Abrechnung offener Ansprüche abgerechnet.</w:t>
      </w:r>
    </w:p>
    <w:p>
      <w:pPr>
        <w:spacing w:after="140" w:line="259" w:lineRule="auto"/>
      </w:pPr>
      <w:r>
        <w:t>Die Mieterin darf nach Freigabe der technischen Unterlagen Regale, Scanner und nichttragende Einbauten installieren. Sie bleibt für Wartung und Betrieb ihrer Anlagen verantwortlich. Änderungen an Tragwerk, Brandschutz oder Stromhauptverteilung bedürfen einer vorherigen schriftlichen Freigabe. Für die Rückgabe erstellen die Parteien spätestens drei Monate vor Mietende eine Liste der zu entfernenden Einbauten.</w:t>
      </w:r>
    </w:p>
    <w:p>
      <w:pPr>
        <w:pStyle w:val="Heading1"/>
        <w:spacing w:after="140" w:line="259" w:lineRule="auto"/>
      </w:pPr>
      <w:r>
        <w:t>4 Zugang und Störungen</w:t>
      </w:r>
    </w:p>
    <w:p>
      <w:pPr>
        <w:spacing w:after="140" w:line="259" w:lineRule="auto"/>
      </w:pPr>
      <w:r>
        <w:t>Die Mieterin organisiert den Zutritt ihrer Beschäftigten und Transporteure. Für die Klimazone protokolliert sie Temperatur und Luftfeuchtigkeit im eigenen Warenwirtschaftssystem. Die Vermieterin darf die Flächen nach angemessener Ankündigung zur Prüfung eigener Anlagen betreten; bei akuter Gefahr ist ein sofortiger Zugang zulässig.</w:t>
      </w:r>
    </w:p>
    <w:p>
      <w:pPr>
        <w:spacing w:after="140" w:line="259" w:lineRule="auto"/>
      </w:pPr>
      <w:r>
        <w:t>Störungen an Gebäude oder Haustechnik zeigt die Mieterin unverzüglich mit Zeitpunkt, betroffener Fläche und beobachteter Auswirkung an. Die Vermieterin veranlasst die erforderliche Prüfung. Über streitige Ursachen entscheiden weder ein automatischer Sensoralarm noch eine mündliche erste Einschätzung. Beeinträchtigte Warenmengen sind von der Mieterin gesondert zu dokumentieren.</w:t>
      </w:r>
    </w:p>
    <w:p>
      <w:pPr>
        <w:pStyle w:val="Heading1"/>
        <w:spacing w:after="140" w:line="259" w:lineRule="auto"/>
      </w:pPr>
      <w:r>
        <w:t>5 Vertragsende und Kommunikation</w:t>
      </w:r>
    </w:p>
    <w:p>
      <w:pPr>
        <w:spacing w:after="140" w:line="259" w:lineRule="auto"/>
      </w:pPr>
      <w:r>
        <w:t>Die Parteien halten wichtige Absprachen zu Zahlungen, baulichen Maßnahmen und Zugang in Textform fest. Änderungen der Miethöhe und Laufzeit werden von beiden Geschäftsleitungen bestätigt. Gesetzliche Rechte zur außerordentlichen Beendigung werden durch die Festlaufzeit nicht ausgeschlossen. Es gelten die Vereinbarungen dieses Vertrags und ergänzend deutsches Recht.</w:t>
      </w:r>
    </w:p>
    <w:p>
      <w:pPr>
        <w:spacing w:after="140" w:line="259" w:lineRule="auto"/>
      </w:pPr>
      <w:r>
        <w:t>Für Brucker Gewerbehof GmbH: Tessa Albrecht</w:t>
        <w:br/>
        <w:t>Für Mainfrucht Spezialitätenhandel GmbH: Mara Eichenfels</w:t>
        <w:br/>
        <w:t>Ausfertigungen am 24. November 2023 ausgetauscht; Kaution im Dezember 2023 geleistet.</w:t>
      </w:r>
    </w:p>
    <w:sectPr w:rsidR="00FC693F" w:rsidRPr="0006063C" w:rsidSect="00034616">
      <w:headerReference w:type="default" r:id="rId9"/>
      <w:footerReference w:type="default" r:id="rId10"/>
      <w:pgSz w:w="11906" w:h="16838"/>
      <w:pgMar w:top="1361" w:right="1134" w:bottom="1020" w:left="124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BG / Mietobjekt E-18 / MF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b/>
      </w:rPr>
      <w:t>Brucker Gewerbehof GmbH</w:t>
    </w:r>
  </w:p>
  <w:p>
    <w:pPr>
      <w:spacing w:after="40"/>
    </w:pPr>
    <w:r>
      <w:rPr>
        <w:sz w:val="18"/>
      </w:rPr>
      <w:t>Brucker Hofweg 18, 91058 Erlangen</w:t>
      <w:br/>
      <w:t>verwaltung@brucker-gewerbehof.de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Mietvertrag Lager Erlangen</dc:title>
  <dc:subject>BG / Mietobjekt E-18 / MF</dc:subject>
  <dc:creator>Brucker Gewerbehof GmbH</dc:creator>
  <cp:keywords/>
  <dc:description/>
  <cp:lastModifiedBy/>
  <cp:revision>1</cp:revision>
  <dcterms:created xsi:type="dcterms:W3CDTF">2013-12-23T23:15:00Z</dcterms:created>
  <dcterms:modified xsi:type="dcterms:W3CDTF">2013-12-23T23:15:00Z</dcterms:modified>
  <cp:category/>
</cp:coreProperties>
</file>