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keepNext/>
      </w:pPr>
      <w:r>
        <w:t>Gesellschaftervereinbarung SkyFade Robotics</w:t>
      </w:r>
    </w:p>
    <w:p>
      <w:pPr>
        <w:pStyle w:val="Normal"/>
        <w:widowControl/>
      </w:pPr>
      <w:r>
        <w:t>Serie B Finanzierung und Zusammenarbeit der Gesellschafter</w:t>
      </w:r>
    </w:p>
    <w:p>
      <w:pPr>
        <w:pStyle w:val="Normal"/>
        <w:widowControl/>
      </w:pPr>
      <w:r>
        <w:t>Verhandlungsfassung vom 9. Oktober 2026. Diese Fassung ist zur Ergänzung der bezeichneten Ausfüllfelder und zur Abstimmung mit sämtlichen Beteiligten bestimmt. Eine Unterzeichnung ersetzt nicht die erforderliche notarielle Gestaltung. Noch nicht bestätigte Angaben sind in eckigen Klammern bezeichnet. Der Entwurf enthält keine Erklärung, dass die Finanzierung bereits beschlossen, bezahlt oder eingetragen worden ist.</w:t>
      </w:r>
    </w:p>
    <w:p>
      <w:pPr>
        <w:pStyle w:val="Heading1"/>
        <w:widowControl/>
        <w:keepNext/>
      </w:pPr>
      <w:r>
        <w:t>1 Beteiligte und Urkundenvorbereitung</w:t>
      </w:r>
    </w:p>
    <w:p>
      <w:pPr>
        <w:pStyle w:val="Heading2"/>
        <w:widowControl/>
        <w:keepNext/>
      </w:pPr>
      <w:r>
        <w:t>1.1 Vertragsparteien</w:t>
      </w:r>
    </w:p>
    <w:p>
      <w:pPr>
        <w:pStyle w:val="Normal"/>
        <w:widowControl/>
      </w:pPr>
      <w:r>
        <w:t>Kunigunde Wolkenberger, wohnhaft Rosenhagener Weg 18, 12159 Berlin, und Kilian Funkenschlag, wohnhaft Eichenpfad 27, 12435 Berlin, werden nachfolgend einzeln als Gründer und gemeinsam als Gründer bezeichnet. Ihre Identität und vollständigen Personalangaben werden bei der Beurkundung anhand geeigneter Nachweise festgestellt; Ausweiskopien gehören nicht in den allgemeinen Verteiler dieses Entwurfs.</w:t>
      </w:r>
    </w:p>
    <w:p>
      <w:pPr>
        <w:pStyle w:val="Normal"/>
        <w:widowControl/>
      </w:pPr>
      <w:r>
        <w:t>Ottilie Trutz, wohnhaft Kranichweg 9, 14089 Berlin, wird als Business Angel bezeichnet. ABC Ventures GmbH mit Sitz in Berlin, Geschäftsanschrift Markgrafenufer 16, 10117 Berlin, vertreten durch [vertretungsberechtigter Vertreter und Nachweis], und DEF Partners GmbH mit Sitz in München, Geschäftsanschrift Hohenbrunner Platz 8, 80331 München, vertreten durch [Vertreter und Nachweis], werden zusammen mit dem Business Angel als bestehende Investoren bezeichnet.</w:t>
      </w:r>
    </w:p>
    <w:p>
      <w:pPr>
        <w:pStyle w:val="Normal"/>
        <w:widowControl/>
      </w:pPr>
      <w:r>
        <w:t>GHI Capital GmbH mit Sitz in Hamburg, Geschäftsanschrift Speicherbogen 31, 20457 Hamburg, vertreten durch [Vertreter und Nachweis], und JKL Fonds GmbH mit Sitz in Berlin, Geschäftsanschrift Parkbogen 12, 10785 Berlin, vertreten durch [Vertreter und Nachweis], werden als neue Investoren bezeichnet. GHI Capital GmbH wird nachfolgend GHI und JKL Fonds GmbH JKL genannt. Die Registerangaben sämtlicher juristischer Personen sind anhand aktueller Registerauszüge in das Beteiligtenverzeichnis aufzunehmen.</w:t>
      </w:r>
    </w:p>
    <w:p>
      <w:pPr>
        <w:pStyle w:val="Normal"/>
        <w:widowControl/>
      </w:pPr>
      <w:r>
        <w:t>SkyFade Robotics GmbH mit Sitz in Berlin, Geschäftsanschrift Werkhof 7, 12489 Berlin, eingetragen im Handelsregister des Amtsgerichts Charlottenburg unter [Registernummer nach Abgleich], vertreten durch [Vertretung und erforderlicher Gesellschafterbeschluss], ist als Gesellschaft selbst Partei dieser Vereinbarung. Die sieben vorstehend genannten Beteiligten werden zusammen als Gesellschafter bezeichnet; die neuen Investoren gelten vor Entstehung ihrer Geschäftsanteile nur im schuldrechtlichen Sinn als Beteiligte dieser Vereinbarung.</w:t>
      </w:r>
    </w:p>
    <w:p>
      <w:pPr>
        <w:pStyle w:val="Heading2"/>
        <w:widowControl/>
        <w:keepNext/>
      </w:pPr>
      <w:r>
        <w:t>1.2 Vertretung und Vollmacht</w:t>
      </w:r>
    </w:p>
    <w:p>
      <w:pPr>
        <w:pStyle w:val="Normal"/>
        <w:widowControl/>
      </w:pPr>
      <w:r>
        <w:t>Jeder Vertreter legt dem beurkundenden Notar die für das konkrete Geschäft erforderlichen Nachweise vor. Ein Gesellschafter, der zugleich die Gesellschaft vertreten soll, darf dies nur aufgrund einer für diese Vereinbarung ausreichenden Vertretungsmacht und unter Beachtung etwaiger Interessenkollisionen tun. Eine Befreiung von Paragraf 181 BGB wird weder durch diese Vertragsbezeichnung noch durch die bloße Unterzeichnung unterstellt.</w:t>
      </w:r>
    </w:p>
    <w:p>
      <w:pPr>
        <w:pStyle w:val="Normal"/>
        <w:widowControl/>
      </w:pPr>
      <w:r>
        <w:t>Handelt jemand ohne abschließend nachgewiesene Vertretungsmacht, wird dies in der Urkunde ausdrücklich festgehalten. Der betroffene Beteiligte erhält den vollständigen genehmigungsbedürftigen Inhalt einschließlich Anlagen. Die Parteien behandeln eine noch ausstehende Genehmigung nicht als bereits erteilt; Vollzugsvoraussetzungen und Zahlungsaufforderungen werden daran angepasst.</w:t>
      </w:r>
    </w:p>
    <w:p>
      <w:pPr>
        <w:pStyle w:val="Heading2"/>
        <w:widowControl/>
        <w:keepNext/>
      </w:pPr>
      <w:r>
        <w:t>1.3 Anlagen und maßgebliche Fassung</w:t>
      </w:r>
    </w:p>
    <w:p>
      <w:pPr>
        <w:pStyle w:val="Normal"/>
        <w:widowControl/>
      </w:pPr>
      <w:r>
        <w:t>Bestandteile der endgültigen Vereinbarung sind das Beteiligtenverzeichnis, die Beteiligungsübersicht mit Anteilnummern, der Finanzierungs- und Zahlungsplan, der Zustimmungskatalog, das Rechteverzeichnis, die Gründeranteilsübersicht und die vollständig ausgefüllte Erlösverteilungsanlage. Jede Anlage erhält Datum und Fassungskennung. Ein lose beigefügtes oder später geändertes Dokument wird nicht ohne die erforderliche Zustimmung und Form Vertragsbestandteil.</w:t>
      </w:r>
    </w:p>
    <w:p>
      <w:pPr>
        <w:pStyle w:val="Normal"/>
        <w:widowControl/>
      </w:pPr>
      <w:r>
        <w:t>Vor Beurkundung sind alle Ausfüllfelder zu schließen oder durch eine ausdrückliche Vereinbarung über den Umgang mit der fehlenden Angabe zu ersetzen. Nicht gewählte Varianten werden entfernt. Der Notar entscheidet über die rechtlich zulässige Einbeziehung und Verlesung der Anlagen. Die Parteien erklären nicht, dass die vorliegende Arbeitsdatei bereits eine vollzogene notarielle Urkunde sei.</w:t>
      </w:r>
    </w:p>
    <w:p>
      <w:pPr>
        <w:pStyle w:val="Heading1"/>
        <w:widowControl/>
        <w:keepNext/>
      </w:pPr>
      <w:r>
        <w:t>2 Gesellschaft und Vertragszweck</w:t>
      </w:r>
    </w:p>
    <w:p>
      <w:pPr>
        <w:pStyle w:val="Heading2"/>
        <w:widowControl/>
        <w:keepNext/>
      </w:pPr>
      <w:r>
        <w:t>2.1 Ausgangslage</w:t>
      </w:r>
    </w:p>
    <w:p>
      <w:pPr>
        <w:pStyle w:val="Normal"/>
        <w:widowControl/>
      </w:pPr>
      <w:r>
        <w:t>Die Gesellschaft wurde nach dem vorliegenden Gründungsordner im Jahr 2023 errichtet. Sie entwickelt mobile Robotik, Steuerungssoftware und eine Buchungsanwendung für automatisierte Friseurdienstleistungen. Die Parteien wollen eine weitere Finanzierungsrunde vorbereiten und ihre Zusammenarbeit neu ordnen. Das bestehende Stammkapital beträgt nach der vorliegenden Beteiligungsübersicht 50.000 EUR. Diese Angabe ist vor Vollzug mit Satzung, Register und zuletzt aufgenommener Gesellschafterliste abzugleichen.</w:t>
      </w:r>
    </w:p>
    <w:p>
      <w:pPr>
        <w:pStyle w:val="Normal"/>
        <w:widowControl/>
      </w:pPr>
      <w:r>
        <w:t>Die Geschäftsanteile werden vor der Runde wirtschaftlich wie folgt zugeordnet: Kunigunde Wolkenberger 12.500 EUR, Kilian Funkenschlag 12.500 EUR, Ottilie Trutz 5.000 EUR, ABC Ventures GmbH 11.000 EUR und DEF Partners GmbH 9.000 EUR. Die endgültige Anlage bezeichnet jeden Geschäftsanteil mit Nummer und Nennbetrag sowie vorhandenen Belastungen. GHI und JKL halten vor der vorgesehenen Runde keine Geschäftsanteile.</w:t>
      </w:r>
    </w:p>
    <w:p>
      <w:pPr>
        <w:pStyle w:val="Heading2"/>
        <w:widowControl/>
        <w:keepNext/>
      </w:pPr>
      <w:r>
        <w:t>2.2 Geschäftsentwicklung und Sicherheitsgrenzen</w:t>
      </w:r>
    </w:p>
    <w:p>
      <w:pPr>
        <w:pStyle w:val="Normal"/>
        <w:widowControl/>
      </w:pPr>
      <w:r>
        <w:t>Die Gesellschaft darf neue Leistungen nur innerhalb der jeweils geltenden gesetzlichen, behördlichen und versicherungsrechtlichen Grenzen anbieten. Die Parteien unterscheiden Entwicklung, Erprobung an technischen Modellen, einen Pilotbetrieb und einen entgeltlichen Regelbetrieb. Ein erfolgreicher technischer Versuch oder ein Gesellschafterbeschluss ersetzt keine erforderliche behördliche Entscheidung oder Versicherungsdeckung.</w:t>
      </w:r>
    </w:p>
    <w:p>
      <w:pPr>
        <w:pStyle w:val="Normal"/>
        <w:widowControl/>
      </w:pPr>
      <w:r>
        <w:t>Ein Einsatz an Personen, insbesondere an Minderjährigen, sowie ein Betrieb im öffentlichen Luftraum oder an fremden Gebäuden darf nicht allein auf diese Finanzierungsvereinbarung gestützt werden. Die Geschäftsführung legt vor einem solchen Einsatz ein eigenständiges Freigabepaket mit den konkret einschlägigen Nachweisen vor. Kein Investor darf die Geschäftsführung durch eine Tranchendrohung zur Durchführung eines rechtlich oder technisch nicht freigegebenen Betriebs verpflichten.</w:t>
      </w:r>
    </w:p>
    <w:p>
      <w:pPr>
        <w:pStyle w:val="Heading2"/>
        <w:widowControl/>
        <w:keepNext/>
      </w:pPr>
      <w:r>
        <w:t>2.3 Verhältnis zur Satzung und zu früheren Verträgen</w:t>
      </w:r>
    </w:p>
    <w:p>
      <w:pPr>
        <w:pStyle w:val="Normal"/>
        <w:widowControl/>
      </w:pPr>
      <w:r>
        <w:t>Diese Vereinbarung regelt schuldrechtliche Rechte und Pflichten ihrer Parteien. Soweit eine Regelung gegenüber der Gesellschaft oder künftigen Gesellschaftern eine Satzungsgrundlage benötigt, verpflichten sich die Parteien nur in dem rechtlich zulässigen und hier konkret vereinbarten Umfang, an der erforderlichen Satzungsänderung mitzuwirken. Die Vereinbarung ersetzt die Satzung nicht und erzeugt keine Registerwirkung vor der erforderlichen Eintragung.</w:t>
      </w:r>
    </w:p>
    <w:p>
      <w:pPr>
        <w:pStyle w:val="Normal"/>
        <w:widowControl/>
      </w:pPr>
      <w:r>
        <w:t>Frühere Gesellschaftervereinbarungen werden nur insoweit aufgehoben, wie sie in Anlage [Aufhebungsverzeichnis] mit Parteien, Datum und Umfang bezeichnet sind. Bis zu einer eindeutigen Aufhebung bleiben Rechte außenstehender Dritter unberührt. Die Vertragsparteien legen insbesondere ältere Investorenrechte, Nebenabreden, Optionszusagen und Sicherheiten offen, bevor eine kollidierende neue Verpflichtung übernommen wird.</w:t>
      </w:r>
    </w:p>
    <w:p>
      <w:pPr>
        <w:pStyle w:val="Heading1"/>
        <w:widowControl/>
        <w:keepNext/>
      </w:pPr>
      <w:r>
        <w:t>3 Begriffe und Zustellwege</w:t>
      </w:r>
    </w:p>
    <w:p>
      <w:pPr>
        <w:pStyle w:val="Heading2"/>
        <w:widowControl/>
        <w:keepNext/>
      </w:pPr>
      <w:r>
        <w:t>3.1 Finanzierungsbegriffe</w:t>
      </w:r>
    </w:p>
    <w:p>
      <w:pPr>
        <w:pStyle w:val="Normal"/>
        <w:widowControl/>
      </w:pPr>
      <w:r>
        <w:t>Erster Vollzug bezeichnet den in Nummer 5 beschriebenen Vollzug der ersten Kapitalerhöhung. Zweiter Vollzug bezeichnet ausschließlich den gesonderten Vollzug der zweiten Kapitalerhöhung nach Nummer 6. Ein Arbeitstag ist Montag bis Freitag mit Ausnahme gesetzlicher Feiertage am Sitz der Gesellschaft. Eine Frist beginnt am Tag nach dem maßgeblichen Zugang; endet sie an keinem Arbeitstag, endet sie mit Ablauf des nächsten Arbeitstags, soweit zwingendes Recht nichts anderes bestimmt.</w:t>
      </w:r>
    </w:p>
    <w:p>
      <w:pPr>
        <w:pStyle w:val="Normal"/>
        <w:widowControl/>
      </w:pPr>
      <w:r>
        <w:t>Ausgabebetrag bezeichnet Nennbetrag und vereinbartes Agio zusammen. Präferenzbasis ist ausschließlich der in der Erlösverteilungsanlage bezeichnete und tatsächlich geleistete Ausgabebetrag des jeweiligen Investors, vermindert um dort anzurechnende Rückzahlungen. Nicht abgerufene Zusagen, Darlehen, Beraterkosten und bloße Budgetbeträge gehören nicht dazu. Es wird weder eine feste Verzinsung noch eine garantierte Rendite vereinbart.</w:t>
      </w:r>
    </w:p>
    <w:p>
      <w:pPr>
        <w:pStyle w:val="Heading2"/>
        <w:widowControl/>
        <w:keepNext/>
      </w:pPr>
      <w:r>
        <w:t>3.2 Mitteilungen</w:t>
      </w:r>
    </w:p>
    <w:p>
      <w:pPr>
        <w:pStyle w:val="Normal"/>
        <w:widowControl/>
      </w:pPr>
      <w:r>
        <w:t>Vertragliche Mitteilungen gehen an die im Beteiligtenverzeichnis benannten Anschriften oder elektronischen Adressen. Eine Änderung dieser Angaben ist den anderen Parteien unverzüglich mitzuteilen. Bei fristauslösenden Erklärungen dokumentiert der Absender Inhalt und Zugang; der bloße Eintrag im eigenen Postausgang beweist den Zugang nicht. Gesetzliche Form- und Zustellungserfordernisse bleiben unberührt.</w:t>
      </w:r>
    </w:p>
    <w:p>
      <w:pPr>
        <w:pStyle w:val="Normal"/>
        <w:widowControl/>
      </w:pPr>
      <w:r>
        <w:t>Die bloße Aufnahme in einen Datenraum gilt nicht als Mitteilung über eine Ausübungserklärung, eine Vertragsverletzung oder eine neue Zahlungsaufforderung. Eine solche Mitteilung muss den betreffenden Vorgang und die beanspruchte Rechtsfolge ausdrücklich bezeichnen. Zugangsbestätigungen können angefordert werden; aus ihrem Schweigen wird keine Zustimmung zu einer Vertragsänderung abgeleitet.</w:t>
      </w:r>
    </w:p>
    <w:p>
      <w:pPr>
        <w:pStyle w:val="Heading1"/>
        <w:widowControl/>
        <w:keepNext/>
      </w:pPr>
      <w:r>
        <w:t>4 Bewertung und Finanzierungsumfang</w:t>
      </w:r>
    </w:p>
    <w:p>
      <w:pPr>
        <w:pStyle w:val="Heading2"/>
        <w:widowControl/>
        <w:keepNext/>
      </w:pPr>
      <w:r>
        <w:t>4.1 Wirtschaftliche Grundlage</w:t>
      </w:r>
    </w:p>
    <w:p>
      <w:pPr>
        <w:pStyle w:val="Normal"/>
        <w:widowControl/>
      </w:pPr>
      <w:r>
        <w:t>Die Parteien legen für die vorgesehene Runde eine Bewertung vor neuem Kapital von 25.000.000 EUR zugrunde. Bei vollständiger Einzahlung beider Tranchen von insgesamt 10.000.000 EUR ergibt sich eine rechnerische Bewertung nach Finanzierung von 35.000.000 EUR. Diese Bewertungen sind vereinbarte Transaktionsgrößen; sie enthalten weder eine Zusicherung über den erzielbaren Verkaufspreis noch eine Garantie künftiger Erträge.</w:t>
      </w:r>
    </w:p>
    <w:p>
      <w:pPr>
        <w:pStyle w:val="Normal"/>
        <w:widowControl/>
      </w:pPr>
      <w:r>
        <w:t>Auf Grundlage von 50.000 bestehenden Geschäftsanteilen zu je 1 EUR beträgt der vereinbarte Ausgabebetrag je neuem Geschäftsanteil 500 EUR, davon 1 EUR Nennbetrag und 499 EUR Agio. Die Anwendung dieser Stückelung setzt voraus, dass die endgültige Satzung und Anteilsliste sie ermöglichen. Eine notwendige Teilung bestehender Geschäftsanteile wird vor oder zusammen mit der Kapitalmaßnahme formgerecht umgesetzt.</w:t>
      </w:r>
    </w:p>
    <w:p>
      <w:pPr>
        <w:pStyle w:val="Heading2"/>
        <w:widowControl/>
        <w:keepNext/>
      </w:pPr>
      <w:r>
        <w:t>4.2 Zwei getrennte Tranchen</w:t>
      </w:r>
    </w:p>
    <w:p>
      <w:pPr>
        <w:pStyle w:val="Normal"/>
        <w:widowControl/>
      </w:pPr>
      <w:r>
        <w:t>GHI soll insgesamt 7.500.000 EUR und JKL insgesamt 2.500.000 EUR einzahlen. Die erste Tranche beträgt 6.000.000 EUR und die zweite Tranche 4.000.000 EUR. GHI übernimmt jeweils 75 Prozent, JKL jeweils 25 Prozent der Tranche. Es besteht keine gesamtschuldnerische Einstandspflicht eines Investors für die Zahlung des anderen, sofern die Parteien sie nicht gesondert ausdrücklich vereinbaren.</w:t>
      </w:r>
    </w:p>
    <w:p>
      <w:pPr>
        <w:pStyle w:val="Normal"/>
        <w:widowControl/>
      </w:pPr>
      <w:r>
        <w:t>Nach vollständig eingetragener erster Tranche beträgt das Stammkapital 62.000 EUR. Nach vollständig eingetragener zweiter Tranche beträgt es 70.000 EUR. Die Beteiligungsquote von GHI nach beiden Vollzügen beträgt 15.000 von 70.000 EUR, diejenige von JKL 5.000 von 70.000 EUR. Die bisherigen Nennbeträge bleiben unverändert; ausschließlich ihre relative Quote verändert sich. Rundungswerte in Präsentationen haben keinen Vorrang vor diesen Nennbeträgen.</w:t>
      </w:r>
    </w:p>
    <w:p>
      <w:pPr>
        <w:pStyle w:val="Heading2"/>
        <w:widowControl/>
        <w:keepNext/>
      </w:pPr>
      <w:r>
        <w:t>4.3 Mitarbeiterbeteiligung und Wandelrechte</w:t>
      </w:r>
    </w:p>
    <w:p>
      <w:pPr>
        <w:pStyle w:val="Normal"/>
        <w:widowControl/>
      </w:pPr>
      <w:r>
        <w:t>In den vorstehenden Zahlen ist kein zusätzlicher, noch zu schaffender Mitarbeiterpool berücksichtigt. Bestehende virtuelle Zusagen und etwaige Wandelrechte sind in Anlage [Beteiligungsprogramme] vollständig offenzulegen. Ihre wirtschaftlichen Folgen werden vor Unterzeichnung gesondert festgelegt. Eine spätere Ausgabe echter Anteile oder die Übernahme weiterer Zahlungsverpflichtungen wird nicht durch einen pauschalen Verweis auf ein marktübliches Programm genehmigt.</w:t>
      </w:r>
    </w:p>
    <w:p>
      <w:pPr>
        <w:pStyle w:val="Normal"/>
        <w:widowControl/>
      </w:pPr>
      <w:r>
        <w:t>Die Parteien bestätigen keine Wandlung eines Darlehens, solange Gläubiger, Forderungsbestand, Zinsen, Wandlungsgrundlage und Umsetzung nicht vollständig dokumentiert sind. Die vorliegende Runde enthält nach dem derzeitigen Verhandlungsstand ausschließlich die bezeichneten Bareinzahlungen. Eine zusätzlich vereinbarte Wandlung erfordert eine ausdrücklich angepasste Finanzierungs- und Beteiligungsübersicht.</w:t>
      </w:r>
    </w:p>
    <w:p>
      <w:pPr>
        <w:pStyle w:val="Heading1"/>
        <w:widowControl/>
        <w:keepNext/>
      </w:pPr>
      <w:r>
        <w:t>5 Erste Tranche</w:t>
      </w:r>
    </w:p>
    <w:p>
      <w:pPr>
        <w:pStyle w:val="Heading2"/>
        <w:widowControl/>
        <w:keepNext/>
      </w:pPr>
      <w:r>
        <w:t>5.1 Beschlüsse und Übernahme</w:t>
      </w:r>
    </w:p>
    <w:p>
      <w:pPr>
        <w:pStyle w:val="Normal"/>
        <w:widowControl/>
      </w:pPr>
      <w:r>
        <w:t>Für den ersten Vollzug ist eine Erhöhung des Stammkapitals um 12.000 EUR vorgesehen. GHI übernimmt 9.000 neue Geschäftsanteile zu je 1 EUR, JKL 3.000 neue Geschäftsanteile zu je 1 EUR. Die Nummernfolge wird nach Abgleich der bestehenden Liste in der notariellen Übernahmeerklärung und in der Beteiligungsanlage identisch bezeichnet. Jeder Investor erklärt nur die Übernahme der ihm zugeordneten Anteile.</w:t>
      </w:r>
    </w:p>
    <w:p>
      <w:pPr>
        <w:pStyle w:val="Normal"/>
        <w:widowControl/>
      </w:pPr>
      <w:r>
        <w:t>Die bisherigen Gesellschafter wirken an der erforderlichen Beschlussfassung und an den ausdrücklich vereinbarten Bezugsrechtsregelungen mit. Zwingende Mehrheiten, Formvorgaben und Zustimmungserfordernisse bleiben unberührt. Diese Mitwirkungspflicht ist keine Verpflichtung zu einer nicht beschriebenen späteren Nachfinanzierung oder zu einer persönlichen Sicherheit für Gesellschaftsschulden.</w:t>
      </w:r>
    </w:p>
    <w:p>
      <w:pPr>
        <w:pStyle w:val="Heading2"/>
        <w:widowControl/>
        <w:keepNext/>
      </w:pPr>
      <w:r>
        <w:t>5.2 Einzahlungen</w:t>
      </w:r>
    </w:p>
    <w:p>
      <w:pPr>
        <w:pStyle w:val="Normal"/>
        <w:widowControl/>
      </w:pPr>
      <w:r>
        <w:t>GHI zahlt 4.500.000 EUR, davon 9.000 EUR auf das Stammkapital und 4.491.000 EUR als Zuzahlung in die Kapitalrücklage. JKL zahlt 1.500.000 EUR, davon 3.000 EUR auf das Stammkapital und 1.497.000 EUR als Zuzahlung in die Kapitalrücklage. Die Zahlungsaufforderung bezeichnet das nachgewiesene Gesellschaftskonto, Verwendungszweck und die getrennten Beträge. Änderungen der Bankverbindung werden über einen bereits bekannten zweiten Kommunikationsweg bestätigt.</w:t>
      </w:r>
    </w:p>
    <w:p>
      <w:pPr>
        <w:pStyle w:val="Normal"/>
        <w:widowControl/>
      </w:pPr>
      <w:r>
        <w:t>Eine Einzahlung wird nicht durch Aufrechnung, Rückzahlung an den Investor oder kreisförmige Weiterleitung ersetzt. Abweichende Sachleistungs- oder Verrechnungsmodelle bedürfen einer eigenständigen rechtlichen und steuerlichen Prüfung sowie der erforderlichen Beschlüsse und Offenlegung. Die Geschäftsführung gibt die für die Registeranmeldung erforderlichen Erklärungen nur auf Grundlage des tatsächlichen Zahlungseingangs und der tatsächlichen Verfügbarkeit ab.</w:t>
      </w:r>
    </w:p>
    <w:p>
      <w:pPr>
        <w:pStyle w:val="Heading2"/>
        <w:widowControl/>
        <w:keepNext/>
      </w:pPr>
      <w:r>
        <w:t>5.3 Voraussetzungen und Nachweise</w:t>
      </w:r>
    </w:p>
    <w:p>
      <w:pPr>
        <w:pStyle w:val="Normal"/>
        <w:widowControl/>
      </w:pPr>
      <w:r>
        <w:t>Vor der Zahlungsaufforderung müssen die endgültige Urkunde, die abgestimmte Satzung, die Vertretungsnachweise, die aktuelle Beteiligungsübersicht und die in Anlage [Vollzugsvoraussetzungen] als vor Zahlung zwingend bezeichneten Nachweise vorliegen. Ein Verzicht ist nur durch den konkret Begünstigten und nur insoweit zulässig, als kein zwingendes Gesetz oder Recht eines Dritten entgegensteht. Der Verzicht wird mit Gegenstand und Datum dokumentiert.</w:t>
      </w:r>
    </w:p>
    <w:p>
      <w:pPr>
        <w:pStyle w:val="Normal"/>
        <w:widowControl/>
      </w:pPr>
      <w:r>
        <w:t>Die Gesellschaft legt innerhalb von fünf Arbeitstagen nach vollständiger Einzahlung einen bestätigten Zahlungsspiegel vor. Die Registeranmeldung wird nach Abstimmung mit dem Notar ohne schuldhafte Verzögerung vorbereitet. Vor Eintragung werden neue Anteile nicht als bereits entstandene Geschäftsanteile in einer endgültigen Gesellschafterliste ausgewiesen. Nach Eintragung erhalten alle Parteien Registerauszug und aufgenommene Liste.</w:t>
      </w:r>
    </w:p>
    <w:p>
      <w:pPr>
        <w:pStyle w:val="Heading2"/>
        <w:widowControl/>
        <w:keepNext/>
      </w:pPr>
      <w:r>
        <w:t>5.4 Störung des ersten Vollzugs</w:t>
      </w:r>
    </w:p>
    <w:p>
      <w:pPr>
        <w:pStyle w:val="Normal"/>
        <w:widowControl/>
      </w:pPr>
      <w:r>
        <w:t>Bleibt eine fällige Zahlung aus, fordert die Gesellschaft den betroffenen Investor unter Bezeichnung des Fehlbetrags und angemessener Nachfrist zur Leistung auf. Welche Folgen die nicht vollständige Durchführung der Kapitalerhöhung hat, richtet sich nach den gesetzlichen Vorschriften und der ausdrücklich vereinbarten Vollzugsstruktur. Die Gesellschaft zahlt bereits erhaltene Einlagen nicht allein aufgrund einer informellen Aufforderung zurück.</w:t>
      </w:r>
    </w:p>
    <w:p>
      <w:pPr>
        <w:pStyle w:val="Normal"/>
        <w:widowControl/>
      </w:pPr>
      <w:r>
        <w:t>Ist der erste Vollzug bis zum [Endtermin] nicht durchführbar, stimmen die Parteien innerhalb von zehn Arbeitstagen einen rechtlich zulässigen Fortsetzungs- oder Beendigungsweg ab. Bereits entstandene Schadensersatzansprüche, Vertraulichkeitspflichten und wirksam vereinbarte Kostenpflichten bleiben unberührt. Eine Beendigung dieser Vereinbarung bewirkt keine automatische Löschung eines bereits eingetragenen Kapitalbeschlusses.</w:t>
      </w:r>
    </w:p>
    <w:p>
      <w:pPr>
        <w:pStyle w:val="Heading1"/>
        <w:widowControl/>
        <w:keepNext/>
      </w:pPr>
      <w:r>
        <w:t>6 Zweite Tranche und Meilensteine</w:t>
      </w:r>
    </w:p>
    <w:p>
      <w:pPr>
        <w:pStyle w:val="Heading2"/>
        <w:widowControl/>
        <w:keepNext/>
      </w:pPr>
      <w:r>
        <w:t>6.1 Umfang und Entstehung</w:t>
      </w:r>
    </w:p>
    <w:p>
      <w:pPr>
        <w:pStyle w:val="Normal"/>
        <w:widowControl/>
      </w:pPr>
      <w:r>
        <w:t>Die zweite Tranche wird durch eine weitere Kapitalerhöhung um 8.000 EUR umgesetzt. GHI übernimmt 6.000 weitere Geschäftsanteile und zahlt 3.000.000 EUR, davon 6.000 EUR Nennbetrag und 2.994.000 EUR Agio. JKL übernimmt 2.000 weitere Geschäftsanteile und zahlt 1.000.000 EUR, davon 2.000 EUR Nennbetrag und 998.000 EUR Agio. Beschluss, Übernahme, Einzahlung, Anmeldung und Eintragung werden gesondert dokumentiert.</w:t>
      </w:r>
    </w:p>
    <w:p>
      <w:pPr>
        <w:pStyle w:val="Normal"/>
        <w:widowControl/>
      </w:pPr>
      <w:r>
        <w:t>Die Verpflichtung zum zweiten Vollzug setzt die in der abschließend vereinbarten Meilensteinanlage bezeichneten Bedingungen voraus. Die bloße Fortsetzung von Verhandlungen oder ein unverbindlicher Statusbericht ersetzt deren Eintritt nicht. Bereits gezahltes Kapital und die aus dem ersten Vollzug entstandenen Rechte bleiben bestehen, wenn die zweite Tranche nicht zustande kommt, soweit nicht ein gesonderter, rechtlich zulässiger Rückabwicklungsgrund vorliegt.</w:t>
      </w:r>
    </w:p>
    <w:p>
      <w:pPr>
        <w:pStyle w:val="Heading2"/>
        <w:widowControl/>
        <w:keepNext/>
      </w:pPr>
      <w:r>
        <w:t>6.2 Nachweispaket</w:t>
      </w:r>
    </w:p>
    <w:p>
      <w:pPr>
        <w:pStyle w:val="Normal"/>
        <w:widowControl/>
      </w:pPr>
      <w:r>
        <w:t>Die Meilensteinanlage benennt für jeden Meilenstein das konkrete Prüfergebnis, den unabhängigen Nachweisersteller, den zulässigen Prüfungsgegenstand und die beizufügenden Unterlagen. Erforderliche behördliche Entscheidungen, technische Erprobungsergebnisse, Versicherungsdeckung und rechtliche Nutzbarkeit von Software sind jeweils getrennt zu bezeichnen. Eine rein wirtschaftliche Zufriedenheit des Investors ist kein Ersatz für diese Nachweise.</w:t>
      </w:r>
    </w:p>
    <w:p>
      <w:pPr>
        <w:pStyle w:val="Normal"/>
        <w:widowControl/>
      </w:pPr>
      <w:r>
        <w:t>Die Gesellschaft übermittelt das vollständige Paket gleichzeitig an beide neuen Investoren. Diese teilen innerhalb von zehn Arbeitstagen entweder die Bestätigung oder eine nach einzelnen Kriterien gegliederte Beanstandung mit. Eine Beanstandung benennt den fehlenden Nachweis und die maßgebliche Anforderung; sie darf keine nachträglich eingeführte Anforderung enthalten. Schweigen gilt nicht als behördliche oder technische Freigabe.</w:t>
      </w:r>
    </w:p>
    <w:p>
      <w:pPr>
        <w:pStyle w:val="Heading2"/>
        <w:widowControl/>
        <w:keepNext/>
      </w:pPr>
      <w:r>
        <w:t>6.3 Streit und Nachbesserung</w:t>
      </w:r>
    </w:p>
    <w:p>
      <w:pPr>
        <w:pStyle w:val="Normal"/>
        <w:widowControl/>
      </w:pPr>
      <w:r>
        <w:t>Bei behebbaren Nachweislücken erhält die Gesellschaft eine angemessene Nachbesserungsfrist von mindestens zwanzig Arbeitstagen, soweit keine zwingende kürzere Frist entgegensteht. Technische Tatsachenfragen können einem gemeinsam bestellten unabhängigen Sachverständigen übertragen werden. Dieser entscheidet nicht über Rechtsfragen, behördliche Genehmigungen oder die Zulässigkeit eines Betriebs an Menschen.</w:t>
      </w:r>
    </w:p>
    <w:p>
      <w:pPr>
        <w:pStyle w:val="Normal"/>
        <w:widowControl/>
      </w:pPr>
      <w:r>
        <w:t>Bleibt ein Meilenstein bis zum [Endtermin zweite Tranche] offen, können die Parteien den Termin und die Finanzierung nur ausdrücklich ändern. Ohne solche Änderung besteht keine Berechtigung, den offenen Betrag als eingezahltes Kapital oder gesicherte Liquidität auszuweisen. Die Geschäftsführung berichtet unverzüglich über die Auswirkungen auf die Zahlungsfähigkeit und legt erforderlichenfalls einen gesonderten Finanzierungsplan vor.</w:t>
      </w:r>
    </w:p>
    <w:p>
      <w:pPr>
        <w:pStyle w:val="Heading1"/>
        <w:widowControl/>
        <w:keepNext/>
      </w:pPr>
      <w:r>
        <w:t>7 Mittelverwendung und Berichterstattung</w:t>
      </w:r>
    </w:p>
    <w:p>
      <w:pPr>
        <w:pStyle w:val="Heading2"/>
        <w:widowControl/>
        <w:keepNext/>
      </w:pPr>
      <w:r>
        <w:t>7.1 Budget</w:t>
      </w:r>
    </w:p>
    <w:p>
      <w:pPr>
        <w:pStyle w:val="Normal"/>
        <w:widowControl/>
      </w:pPr>
      <w:r>
        <w:t>Der Finanzierungsplan sieht bei vollständiger Einzahlung 3.500.000 EUR für Robotik und Sicherheitsentwicklung, 2.000.000 EUR für Zulassungen, Prüfungen und Versicherung, 2.000.000 EUR für Software und Datenorganisation, 1.500.000 EUR für Personal und Pilotstandorte sowie 1.000.000 EUR für Betriebskapital vor. Die Summe beträgt 10.000.000 EUR. Diese Aufteilung ist ein Budget, keine bereits eingegangene Ausgabe und keine Bestätigung erteilter Genehmigungen.</w:t>
      </w:r>
    </w:p>
    <w:p>
      <w:pPr>
        <w:pStyle w:val="Normal"/>
        <w:widowControl/>
      </w:pPr>
      <w:r>
        <w:t>Bis zum zweiten Vollzug wird ausschließlich mit den tatsächlich verfügbaren Mitteln und rechtlich belastbaren Zahlungspflichten geplant. Die Geschäftsführung stellt die Ausgaben zeitlich so dar, dass vorgezogene Entwicklungskosten, laufende Personalkosten und mögliche Verzögerungen erkennbar bleiben. Eine erwartete zweite Tranche darf in einer Liquiditätsübersicht nicht als bereits vorhandenes Bankguthaben erscheinen.</w:t>
      </w:r>
    </w:p>
    <w:p>
      <w:pPr>
        <w:pStyle w:val="Heading2"/>
        <w:widowControl/>
        <w:keepNext/>
      </w:pPr>
      <w:r>
        <w:t>7.2 Berichtspflichten</w:t>
      </w:r>
    </w:p>
    <w:p>
      <w:pPr>
        <w:pStyle w:val="Normal"/>
        <w:widowControl/>
      </w:pPr>
      <w:r>
        <w:t>Die Gesellschaft übermittelt monatlich bis zum fünfzehnten Arbeitstag des Folgemonats eine Liquiditätsübersicht und eine kurze Erläuterung wesentlicher Budgetabweichungen. Quartalsweise berichtet sie über Entwicklung, wesentliche Verträge, Personal, Sicherheitsereignisse und den Stand der Vollzugsvoraussetzungen. Der Jahresabschluss wird nach seiner Aufstellung innerhalb der gesetzlichen und wirksam vereinbarten Fristen bereitgestellt.</w:t>
      </w:r>
    </w:p>
    <w:p>
      <w:pPr>
        <w:pStyle w:val="Normal"/>
        <w:widowControl/>
      </w:pPr>
      <w:r>
        <w:t>Erhebliche Sicherheitsereignisse, behördliche Untersagungen, Wegfall wesentlicher Rechte, drohender Deckungsverlust oder konkrete Zahlungsschwierigkeiten werden unverzüglich mitgeteilt. Eine Mitteilung enthält die bekannten Tatsachen, die bereits ergriffenen Maßnahmen und den noch benötigten Beschluss; ungesicherte Vermutungen werden nicht als bestätigte Feststellungen ausgegeben.</w:t>
      </w:r>
    </w:p>
    <w:p>
      <w:pPr>
        <w:pStyle w:val="Heading2"/>
        <w:widowControl/>
        <w:keepNext/>
      </w:pPr>
      <w:r>
        <w:t>7.3 Gesetzliche Rechte</w:t>
      </w:r>
    </w:p>
    <w:p>
      <w:pPr>
        <w:pStyle w:val="Normal"/>
        <w:widowControl/>
      </w:pPr>
      <w:r>
        <w:t>Gesetzliche Auskunfts- und Einsichtsrechte, insbesondere nach Paragraf 51a GmbHG, werden durch die regelmäßigen Berichte nicht ersetzt oder ausgeschlossen. Eine gesetzlich zulässige Beschränkung bedarf einer Prüfung des konkreten Begehrens und der hierfür vorgesehenen Entscheidung. Vertrauliche Unterlagen werden über einen geeigneten Zugang bereitgestellt; ein pauschaler Hinweis auf Vertraulichkeit rechtfertigt keine beliebige Informationssperre.</w:t>
      </w:r>
    </w:p>
    <w:p>
      <w:pPr>
        <w:pStyle w:val="Heading1"/>
        <w:widowControl/>
        <w:keepNext/>
      </w:pPr>
      <w:r>
        <w:t>8 Geschäftsführung und Zustimmungskatalog</w:t>
      </w:r>
    </w:p>
    <w:p>
      <w:pPr>
        <w:pStyle w:val="Heading2"/>
        <w:widowControl/>
        <w:keepNext/>
      </w:pPr>
      <w:r>
        <w:t>8.1 Geschäftsführung</w:t>
      </w:r>
    </w:p>
    <w:p>
      <w:pPr>
        <w:pStyle w:val="Normal"/>
        <w:widowControl/>
      </w:pPr>
      <w:r>
        <w:t>Die Geschäftsführung führt die Geschäfte im Rahmen von Gesetz, Satzung, wirksamen Gesellschafterbeschlüssen und ihrer Geschäftsordnung. Die Parteien vereinbaren keine Befugnis, gesetzliche Organpflichten durch Investorenweisung zu verdrängen. Zustimmungsrechte nach dieser Vereinbarung sind grundsätzlich interne Bindungen; die Vertretungsmacht gegenüber Dritten richtet sich nach dem Gesetz und der eingetragenen Vertretungsregel.</w:t>
      </w:r>
    </w:p>
    <w:p>
      <w:pPr>
        <w:pStyle w:val="Normal"/>
        <w:widowControl/>
      </w:pPr>
      <w:r>
        <w:t>Die Bestellung, Abberufung, Entlastung und Vergütung von Geschäftsführern erfolgt durch das zuständige Organ unter Beachtung der jeweiligen Stimmverbote. Die Vertretung der Gesellschaft bei einem Vertrag mit einem Geschäftsführer wird gesondert bestimmt. Eine Zustimmung des Betroffenen zu seinem eigenen Vertrag ersetzt diese Vertretungsentscheidung nicht.</w:t>
      </w:r>
    </w:p>
    <w:p>
      <w:pPr>
        <w:pStyle w:val="Heading2"/>
        <w:widowControl/>
        <w:keepNext/>
      </w:pPr>
      <w:r>
        <w:t>8.2 Zustimmungspflichtige Geschäfte</w:t>
      </w:r>
    </w:p>
    <w:p>
      <w:pPr>
        <w:pStyle w:val="Normal"/>
        <w:widowControl/>
      </w:pPr>
      <w:r>
        <w:t>Vorbehaltlich zwingender Zuständigkeiten bedürfen die in der endgültigen Anlage bezeichneten Geschäfte vor ihrer Durchführung der dort bestimmten Zustimmung. Dazu gehören nach dem Verhandlungsstand Budgetabweichungen von mehr als 15 Prozent einer genehmigten Jahreskostenstelle, neue Finanzverbindlichkeiten von mehr als 250.000 EUR je Geschäft oder wirtschaftlich zusammengehöriger Geschäftsreihe, Verfügungen über wesentliche Schutzrechte, Änderungen des Geschäftsmodells sowie Geschäfte mit nahestehenden Personen außerhalb gewöhnlicher Bedingungen.</w:t>
      </w:r>
    </w:p>
    <w:p>
      <w:pPr>
        <w:pStyle w:val="Normal"/>
        <w:widowControl/>
      </w:pPr>
      <w:r>
        <w:t>Für jeden Zustimmungstatbestand bestimmt die Anlage das zuständige Organ, etwaige zusätzliche Klassenmehrheit und die erforderlichen Informationen. Wirtschaftlich zusammengehörige Maßnahmen dürfen nicht in Teilbeträge aufgespalten werden, um die Schwelle zu unterschreiten. Bereits genehmigte laufende Verpflichtungen werden nicht durch jede einzelne Rechnung erneut zustimmungspflichtig, sofern Umfang und Bedingungen unverändert bleiben.</w:t>
      </w:r>
    </w:p>
    <w:p>
      <w:pPr>
        <w:pStyle w:val="Heading2"/>
        <w:widowControl/>
        <w:keepNext/>
      </w:pPr>
      <w:r>
        <w:t>8.3 Dringlichkeit</w:t>
      </w:r>
    </w:p>
    <w:p>
      <w:pPr>
        <w:pStyle w:val="Normal"/>
        <w:widowControl/>
      </w:pPr>
      <w:r>
        <w:t>Kann eine notwendige Maßnahme zur Abwendung eines unmittelbar drohenden erheblichen Schadens keinen Aufschub dulden, darf die Geschäftsführung im gesetzlich zulässigen Umfang die erforderliche Sicherungsmaßnahme treffen. Sie informiert die zuständigen Beteiligten unverzüglich und dokumentiert Anlass, Alternativen und Kosten. Diese Befugnis erlaubt keinen ohne Not vorgezogenen Unternehmenskauf, Anteilsverkauf oder nicht freigegebenen Personenbetrieb.</w:t>
      </w:r>
    </w:p>
    <w:p>
      <w:pPr>
        <w:pStyle w:val="Heading2"/>
        <w:widowControl/>
        <w:keepNext/>
      </w:pPr>
      <w:r>
        <w:t>8.4 Interessenkonflikte</w:t>
      </w:r>
    </w:p>
    <w:p>
      <w:pPr>
        <w:pStyle w:val="Normal"/>
        <w:widowControl/>
      </w:pPr>
      <w:r>
        <w:t>Ein Beteiligter legt einen konkreten Interessenkonflikt vor Befassung mit dem betreffenden Gegenstand offen. Gesetzliche Stimmverbote bleiben unberührt. Nicht stimmberechtigte Beteiligte werden bei der Berechnung der Mehrheit nach der hierfür maßgeblichen gesetzlichen oder wirksam vereinbarten Regel behandelt; der Nenner wird nicht stillschweigend zugunsten einer Seite verändert. Die konfliktfreie Vertretung der Gesellschaft wird im Beschluss ausdrücklich dokumentiert.</w:t>
      </w:r>
    </w:p>
    <w:p>
      <w:pPr>
        <w:pStyle w:val="Heading1"/>
        <w:widowControl/>
        <w:keepNext/>
      </w:pPr>
      <w:r>
        <w:t>9 Beirat</w:t>
      </w:r>
    </w:p>
    <w:p>
      <w:pPr>
        <w:pStyle w:val="Heading2"/>
        <w:widowControl/>
        <w:keepNext/>
      </w:pPr>
      <w:r>
        <w:t>9.1 Zusammensetzung</w:t>
      </w:r>
    </w:p>
    <w:p>
      <w:pPr>
        <w:pStyle w:val="Normal"/>
        <w:widowControl/>
      </w:pPr>
      <w:r>
        <w:t>Der Beirat besteht aus genau fünf Mitgliedern. Die Gründer benennen gemeinsam zwei Mitglieder, ABC und DEF gemeinsam ein Mitglied, GHI ein Mitglied und JKL ein Mitglied. Die Parteien bestimmen vor Unterzeichnung, unter welchen Mindestbeteiligungen die jeweiligen Benennungsrechte fortbestehen. Der Business Angel erhält durch diese Regelung keinen zusätzlichen sechsten Sitz.</w:t>
      </w:r>
    </w:p>
    <w:p>
      <w:pPr>
        <w:pStyle w:val="Normal"/>
        <w:widowControl/>
      </w:pPr>
      <w:r>
        <w:t>Der Vorsitzende wird aus den fünf Mitgliedern gewählt. Ein unabhängiger Vorsitzender kann nur auf einem der bestehenden Sitze bestellt werden, wenn der hierfür Benennungsberechtigte zustimmt. Soll ein weiterer Sitz geschaffen werden, bedarf dies einer ausdrücklichen Änderung der Mitgliederzahl, Benennungsrechte und Mehrheiten. Ein nicht stimmberechtigter Gast wird nicht als weiteres Beiratsmitglied behandelt.</w:t>
      </w:r>
    </w:p>
    <w:p>
      <w:pPr>
        <w:pStyle w:val="Heading2"/>
        <w:widowControl/>
        <w:keepNext/>
      </w:pPr>
      <w:r>
        <w:t>9.2 Verfahren</w:t>
      </w:r>
    </w:p>
    <w:p>
      <w:pPr>
        <w:pStyle w:val="Normal"/>
        <w:widowControl/>
      </w:pPr>
      <w:r>
        <w:t>Sitzungen werden mit einer Frist von fünf Arbeitstagen und einer aussagekräftigen Tagesordnung einberufen. Bei nachgewiesener Dringlichkeit kann die Frist mit Zustimmung sämtlicher Mitglieder verkürzt werden. Unterlagen müssen eine sachgerechte Entscheidung ermöglichen; nachgereichte erhebliche Informationen können eine Vertagung des betreffenden Gegenstands erfordern.</w:t>
      </w:r>
    </w:p>
    <w:p>
      <w:pPr>
        <w:pStyle w:val="Normal"/>
        <w:widowControl/>
      </w:pPr>
      <w:r>
        <w:t>Der Beirat ist beschlussfähig, wenn mindestens vier Mitglieder teilnehmen. Er entscheidet mit einfacher Mehrheit der abgegebenen zulässigen Stimmen, soweit die Satzung oder eine ausdrücklich vereinbarte Sonderregel eine andere Mehrheit verlangt. Der Vorsitzende hat keinen zusätzlichen Stichentscheid. Ein Beiratsbeschluss ersetzt keine gesetzlich erforderliche Gesellschafterentscheidung oder Sonderzustimmung.</w:t>
      </w:r>
    </w:p>
    <w:p>
      <w:pPr>
        <w:pStyle w:val="Heading2"/>
        <w:widowControl/>
        <w:keepNext/>
      </w:pPr>
      <w:r>
        <w:t>9.3 Niederschrift und Aufgabenbegrenzung</w:t>
      </w:r>
    </w:p>
    <w:p>
      <w:pPr>
        <w:pStyle w:val="Normal"/>
        <w:widowControl/>
      </w:pPr>
      <w:r>
        <w:t>Über jede Sitzung wird eine Niederschrift mit Teilnehmern, Interessenkonflikten, Beschlusswortlaut und Abstimmungsergebnis geführt. Jedes Mitglied kann eine abweichende Auffassung aufnehmen lassen. Aufgaben, Haftungsmaßstab, Vertraulichkeit und etwaige Vergütung des Beirats werden mit der Satzung und einer gesonderten Geschäftsordnung abgestimmt; ein lediglich vertraglicher Beirat erhält keine gesetzlich nicht übertragbaren Organbefugnisse.</w:t>
      </w:r>
    </w:p>
    <w:p>
      <w:pPr>
        <w:pStyle w:val="Heading1"/>
        <w:widowControl/>
        <w:keepNext/>
      </w:pPr>
      <w:r>
        <w:t>10 Übertragungsbindung und zulässige Umstrukturierung</w:t>
      </w:r>
    </w:p>
    <w:p>
      <w:pPr>
        <w:pStyle w:val="Heading2"/>
        <w:widowControl/>
        <w:keepNext/>
      </w:pPr>
      <w:r>
        <w:t>10.1 Bindungszeit</w:t>
      </w:r>
    </w:p>
    <w:p>
      <w:pPr>
        <w:pStyle w:val="Normal"/>
        <w:widowControl/>
      </w:pPr>
      <w:r>
        <w:t>Die Gründer verpflichten sich, ihre Geschäftsanteile für 48 Monate ab [Beginn] nicht ohne die nach Satzung und dieser Vereinbarung erforderlichen Zustimmungen zu veräußern oder zu belasten. Die Verpflichtung gilt vorbehaltlich ausdrücklich zugelassener Übertragungen, eines wirksam ausgeübten Mitverkaufsrechts oder Mitverkaufsverlangens und gesetzlich zwingender Fälle. Sie begründet keine automatische Nichtigkeit jedes schuldrechtlichen Außengeschäfts.</w:t>
      </w:r>
    </w:p>
    <w:p>
      <w:pPr>
        <w:pStyle w:val="Normal"/>
        <w:widowControl/>
      </w:pPr>
      <w:r>
        <w:t>Die Parteien bestimmen in der endgültigen Anlage, welche weiteren Gesellschafter einer Bindungszeit unterliegen. Investor und Gründer werden nicht allein aufgrund derselben Vertragsüberschrift gleichbehandelt. Eine Übertragung umfasst auch Einbringung, Schenkung und Treuhandänderung, soweit sie die wirtschaftliche oder rechtliche Zuordnung des Anteils verändert; reine interne Verwaltung ohne Zuordnungswechsel ist davon nicht umfasst.</w:t>
      </w:r>
    </w:p>
    <w:p>
      <w:pPr>
        <w:pStyle w:val="Heading2"/>
        <w:widowControl/>
        <w:keepNext/>
      </w:pPr>
      <w:r>
        <w:t>10.2 Zulässige Übertragung</w:t>
      </w:r>
    </w:p>
    <w:p>
      <w:pPr>
        <w:pStyle w:val="Normal"/>
        <w:widowControl/>
      </w:pPr>
      <w:r>
        <w:t>Eine Übertragung an ein vollständig kontrolliertes Beteiligungsvehikel kann zugelassen werden, wenn der Erwerber formgerecht beitritt, seine Identität und Kontrolle nachweist und die Rückübertragung bei Wegfall der Kontrolle abgesichert wird. Persönliche Tätigkeits- und Vertraulichkeitspflichten des Gründers bleiben bestehen. Eine Übertragung an einen Wettbewerber oder eine nicht offengelegte Treuhand wird nicht durch die Bezeichnung als interne Umstrukturierung privilegiert.</w:t>
      </w:r>
    </w:p>
    <w:p>
      <w:pPr>
        <w:pStyle w:val="Normal"/>
        <w:widowControl/>
      </w:pPr>
      <w:r>
        <w:t>Bei einem Fondsnachfolger werden wirtschaftliche Berechtigung, fortbestehende Verantwortung und die Zulässigkeit der Weitergabe vertraulicher Informationen gesondert geprüft. Gesetzliche oder satzungsmäßige Zustimmungen bleiben erforderlich. Bereits entstandene Zahlungs- und Schadensersatzpflichten des bisherigen Beteiligten entfallen nur bei einer ausdrücklichen Entlassung durch den jeweiligen Gläubiger.</w:t>
      </w:r>
    </w:p>
    <w:p>
      <w:pPr>
        <w:pStyle w:val="Heading1"/>
        <w:widowControl/>
        <w:keepNext/>
      </w:pPr>
      <w:r>
        <w:t>11 Vorerwerbsrecht</w:t>
      </w:r>
    </w:p>
    <w:p>
      <w:pPr>
        <w:pStyle w:val="Heading2"/>
        <w:widowControl/>
        <w:keepNext/>
      </w:pPr>
      <w:r>
        <w:t>11.1 Verkaufsmitteilung</w:t>
      </w:r>
    </w:p>
    <w:p>
      <w:pPr>
        <w:pStyle w:val="Normal"/>
        <w:widowControl/>
      </w:pPr>
      <w:r>
        <w:t>Ein verkaufswilliger Gesellschafter teilt den anderen Gesellschaftern den beabsichtigten Erwerber, die betroffenen Anteilnummern, den vollständigen Preis und sämtliche wirtschaftlich erheblichen Nebenbedingungen mit. Dazu gehören gestundete Beträge, Sachgegenleistungen, Beratungsverträge und Sonderzahlungen, soweit sie mit dem Verkauf zusammenhängen. Die Mitteilung enthält einen verbindlich verhandelten Vertragsstand oder bezeichnet ausdrücklich, welche Kondition noch offen ist.</w:t>
      </w:r>
    </w:p>
    <w:p>
      <w:pPr>
        <w:pStyle w:val="Normal"/>
        <w:widowControl/>
      </w:pPr>
      <w:r>
        <w:t>Die anderen Gesellschafter können innerhalb von zwanzig Arbeitstagen nach vollständiger Mitteilung erklären, dass sie die angebotenen Anteile zu den mitgeteilten Bedingungen erwerben wollen. Mehrere wirksame Erwerbswünsche werden nach dem Verhältnis ihrer bisherigen Nennbeträge zueinander berücksichtigt, soweit sie keine andere Verteilung vereinbaren. Nicht übernommene Teilmengen werden den ausübenden Berechtigten in einer zweiten Frist von fünf Arbeitstagen angeboten.</w:t>
      </w:r>
    </w:p>
    <w:p>
      <w:pPr>
        <w:pStyle w:val="Heading2"/>
        <w:widowControl/>
        <w:keepNext/>
      </w:pPr>
      <w:r>
        <w:t>11.2 Vollzug und Drittverkauf</w:t>
      </w:r>
    </w:p>
    <w:p>
      <w:pPr>
        <w:pStyle w:val="Normal"/>
        <w:widowControl/>
      </w:pPr>
      <w:r>
        <w:t>Die Abwicklung erfolgt innerhalb von [Frist] nach Abschluss der Zuteilung in der gesetzlich vorgeschriebenen Form. Erfüllt ein ausübender Berechtigter die ihm obliegenden Vollzugspflichten trotz angemessener Nachfrist nicht, werden die Folgen nach der endgültigen Erwerbsregel bestimmt; eine Übertragung ohne Kaufpreiszahlung wird nicht fingiert. Bestehende Zustimmungsvorbehalte bleiben zu beachten.</w:t>
      </w:r>
    </w:p>
    <w:p>
      <w:pPr>
        <w:pStyle w:val="Normal"/>
        <w:widowControl/>
      </w:pPr>
      <w:r>
        <w:t>Kommt kein vollständiger Erwerb zustande, darf der Verkäufer innerhalb von neunzig Kalendertagen an den mitgeteilten Dritten zu keinen für diesen günstigeren wirtschaftlichen Bedingungen verkaufen. Bei erheblicher Verbesserung der Konditionen oder Wechsel des Erwerbers ist die Mitteilung zu erneuern. Nichtbare Gegenleistungen werden vor Ausübung anhand einer vereinbarten unabhängigen Bewertung in einen vergleichbaren Betrag übersetzt.</w:t>
      </w:r>
    </w:p>
    <w:p>
      <w:pPr>
        <w:pStyle w:val="Heading1"/>
        <w:widowControl/>
        <w:keepNext/>
      </w:pPr>
      <w:r>
        <w:t>12 Mitverkauf und Unternehmensverkauf</w:t>
      </w:r>
    </w:p>
    <w:p>
      <w:pPr>
        <w:pStyle w:val="Heading2"/>
        <w:widowControl/>
        <w:keepNext/>
      </w:pPr>
      <w:r>
        <w:t>12.1 Mitverkaufsrecht</w:t>
      </w:r>
    </w:p>
    <w:p>
      <w:pPr>
        <w:pStyle w:val="Normal"/>
        <w:widowControl/>
      </w:pPr>
      <w:r>
        <w:t>Bei einem Verkauf, durch den ein Dritter unmittelbar oder mittelbar die Kontrolle über die Gesellschaft erlangen soll, können die übrigen Gesellschafter verlangen, dass ihre Anteile zu den entsprechend anwendbaren Bedingungen mitverkauft werden. Die Mitteilung nennt Erwerber, Umfang, Gegenleistung und geplanten Vollzug; die Ausübungsfrist beträgt zwanzig Arbeitstage nach vollständigem Zugang. Die unterschiedliche Erlösberechtigung einzelner Klassen nach Nummer 14 bleibt zu beachten.</w:t>
      </w:r>
    </w:p>
    <w:p>
      <w:pPr>
        <w:pStyle w:val="Normal"/>
        <w:widowControl/>
      </w:pPr>
      <w:r>
        <w:t>Der veräußernde Gesellschafter darf den kontrollbegründenden Verkauf nicht vollziehen, wenn ein wirksam verlangter Mitverkauf ohne gleichwertige Abwicklung ausgeschlossen wird. Bei einem Teilverkauf unterhalb des Kontrollwechsels gilt ein Mitverkaufsrecht nur in dem in Anlage [Mitverkauf] ausdrücklich vereinbarten Umfang. Ein Anspruch auf einen nicht tatsächlich vereinbarten Unternehmenskaufpreis wird dadurch nicht begründet.</w:t>
      </w:r>
    </w:p>
    <w:p>
      <w:pPr>
        <w:pStyle w:val="Heading2"/>
        <w:widowControl/>
        <w:keepNext/>
      </w:pPr>
      <w:r>
        <w:t>12.2 Mitverkaufsverlangen</w:t>
      </w:r>
    </w:p>
    <w:p>
      <w:pPr>
        <w:pStyle w:val="Normal"/>
        <w:widowControl/>
      </w:pPr>
      <w:r>
        <w:t>Ein Mitverkaufsverlangen setzt nach dem Verhandlungsstand die Zustimmung von mindestens 75 Prozent des gesamten maßgeblichen Stammkapitals und zusätzlich die vereinbarte Mehrheit der Serie-B-Anteile voraus. Die endgültige Vereinbarung legt vor Unterzeichnung fest, ob und in welchem Umfang weitere Klassenrechte bestehen. Der Erwerber muss unabhängig sein; eine wirtschaftliche Sonderbegünstigung einzelner Verkäufer ist offenzulegen und bei der Gleichbehandlung zu berücksichtigen.</w:t>
      </w:r>
    </w:p>
    <w:p>
      <w:pPr>
        <w:pStyle w:val="Normal"/>
        <w:widowControl/>
      </w:pPr>
      <w:r>
        <w:t>Die verpflichteten Gesellschafter erhalten den vollständigen Vertrag mindestens zwanzig Arbeitstage vor dem vorgesehenen Vollzug. Sie schulden Garantien zu ihrer eigenen Inhaberschaft und Verfügungsbefugnis; eine unbeschränkte gesamtschuldnerische Haftung für das operative Unternehmen wird ihnen nicht allein durch das Mitverkaufsverlangen auferlegt. Der Umfang weiterer Garantien und Einbehalte muss ausdrücklich vereinbart und auf den jeweiligen Erlös begrenzt werden, soweit zwingendes Recht nichts anderes verlangt.</w:t>
      </w:r>
    </w:p>
    <w:p>
      <w:pPr>
        <w:pStyle w:val="Heading2"/>
        <w:widowControl/>
        <w:keepNext/>
      </w:pPr>
      <w:r>
        <w:t>12.3 Durchführung</w:t>
      </w:r>
    </w:p>
    <w:p>
      <w:pPr>
        <w:pStyle w:val="Normal"/>
        <w:widowControl/>
      </w:pPr>
      <w:r>
        <w:t>Eine Vollmacht zur Umsetzung eines Verkaufs ist in Person, Gegenstand, Grenzen und Form gesondert zu gestalten. Sie erlaubt keine nachträgliche beliebige Änderung der wirtschaftlichen Bedingungen. Die Zahlung des Kaufpreises und der Übergang der Anteile werden so abgestimmt, dass kein Beteiligter ohne die vereinbarte Gegenleistung endgültig aus seiner Rechtsposition gedrängt wird. Gesetzliche Form, Satzungszustimmung und erforderliche Drittzustimmungen bleiben bestehen.</w:t>
      </w:r>
    </w:p>
    <w:p>
      <w:pPr>
        <w:pStyle w:val="Heading1"/>
        <w:widowControl/>
        <w:keepNext/>
      </w:pPr>
      <w:r>
        <w:t>13 Beitritt, Erbfolge und Belastung</w:t>
      </w:r>
    </w:p>
    <w:p>
      <w:pPr>
        <w:pStyle w:val="Heading2"/>
        <w:widowControl/>
        <w:keepNext/>
      </w:pPr>
      <w:r>
        <w:t>13.1 Beitritt</w:t>
      </w:r>
    </w:p>
    <w:p>
      <w:pPr>
        <w:pStyle w:val="Normal"/>
        <w:widowControl/>
      </w:pPr>
      <w:r>
        <w:t>Jeder rechtsgeschäftliche Erwerber tritt dieser Vereinbarung in der für das konkrete Geschäft erforderlichen Form bei. Die Beitrittserklärung bezeichnet seine Geschäftsanteile, Klasse, übernommenen Rechte und Pflichten sowie den wirksamen Zeitpunkt. Persönliche Zusagen des Veräußerers gehen nicht allein durch die Bezeichnung als Rechtsnachfolger auf einen fachlich oder persönlich nicht geeigneten Erwerber über.</w:t>
      </w:r>
    </w:p>
    <w:p>
      <w:pPr>
        <w:pStyle w:val="Normal"/>
        <w:widowControl/>
      </w:pPr>
      <w:r>
        <w:t>Die Parteien sorgen im Rahmen ihrer rechtlichen Möglichkeiten dafür, dass die Übertragung und der Beitritt aufeinander abgestimmt werden. Gesetzliche Mitgliedschaft und Legitimation werden nicht durch eine interne Verwaltungsliste ersetzt. Die Gesellschaft dokumentiert die Aufnahme der aktualisierten Gesellschafterliste und stellt sie den Beteiligten zur Verfügung.</w:t>
      </w:r>
    </w:p>
    <w:p>
      <w:pPr>
        <w:pStyle w:val="Heading2"/>
        <w:widowControl/>
        <w:keepNext/>
      </w:pPr>
      <w:r>
        <w:t>13.2 Erbfolge</w:t>
      </w:r>
    </w:p>
    <w:p>
      <w:pPr>
        <w:pStyle w:val="Normal"/>
        <w:widowControl/>
      </w:pPr>
      <w:r>
        <w:t>Im Todesfall richten sich die Rechtsnachfolge und die Ausübung der Gesellschafterrechte zunächst nach Gesetz und Satzung. Mehrere Erben benennen einen gemeinsamen Ansprechpartner und weisen ihre Berechtigung in geeigneter Form nach. Eine vertragliche Erwerbsoption im Todesfall muss Anteil, Berechtigte, Preis und Frist ausdrücklich bestimmen; sie wird durch diese Informationsregel nicht automatisch eingeräumt.</w:t>
      </w:r>
    </w:p>
    <w:p>
      <w:pPr>
        <w:pStyle w:val="Normal"/>
        <w:widowControl/>
      </w:pPr>
      <w:r>
        <w:t>Persönliche Dienstpflichten des Verstorbenen gehen nicht auf Erben über. Bestehende Zahlungsansprüche, Vertraulichkeitsbindungen und vermögensrechtliche Pflichten sind nach ihrer jeweiligen Rechtsnatur zu behandeln. Notwendige Sicherungsmaßnahmen dürfen nicht als Vorwand für einen entschädigungslosen Entzug der Beteiligung verwendet werden.</w:t>
      </w:r>
    </w:p>
    <w:p>
      <w:pPr>
        <w:pStyle w:val="Heading2"/>
        <w:widowControl/>
        <w:keepNext/>
      </w:pPr>
      <w:r>
        <w:t>13.3 Belastungen</w:t>
      </w:r>
    </w:p>
    <w:p>
      <w:pPr>
        <w:pStyle w:val="Normal"/>
        <w:widowControl/>
      </w:pPr>
      <w:r>
        <w:t>Eine Verpfändung, ein Nießbrauch oder eine Treuhand an Geschäftsanteilen bedarf der jeweils gesetzlichen, satzungsmäßigen und ausdrücklich vereinbarten Zustimmung. Der Sicherungsnehmer erhält nicht ohne gesonderte Grundlage Stimm- oder Informationsrechte. Der Beteiligte legt die wesentlichen Bedingungen einer beabsichtigten Sicherheit offen, soweit sie die Gesellschafterstellung oder deren Verwertung betreffen.</w:t>
      </w:r>
    </w:p>
    <w:p>
      <w:pPr>
        <w:pStyle w:val="Heading1"/>
        <w:widowControl/>
        <w:keepNext/>
      </w:pPr>
      <w:r>
        <w:t>14 Verteilung von Verkaufserlösen</w:t>
      </w:r>
    </w:p>
    <w:p>
      <w:pPr>
        <w:pStyle w:val="Heading2"/>
        <w:widowControl/>
        <w:keepNext/>
      </w:pPr>
      <w:r>
        <w:t>14.1 Erfasstes Ereignis und verfügbare Beträge</w:t>
      </w:r>
    </w:p>
    <w:p>
      <w:pPr>
        <w:pStyle w:val="Normal"/>
        <w:widowControl/>
      </w:pPr>
      <w:r>
        <w:t>Die nachfolgenden Regeln betreffen die Verteilung einer Gegenleistung aus dem Verkauf sämtlicher Geschäftsanteile an einen unabhängigen Erwerber. Eine Übertragung auf einen Vermögensverkauf oder eine Liquidation erfolgt nur unter Beachtung der dann vorgeschalteten Steuer-, Gläubiger- und Kapitalerhaltungsvorschriften. Die Gesellschaft schuldet keine Auszahlung, die nach Paragrafen 30, 31, 72 oder 73 GmbHG unzulässig wäre.</w:t>
      </w:r>
    </w:p>
    <w:p>
      <w:pPr>
        <w:pStyle w:val="Normal"/>
        <w:widowControl/>
      </w:pPr>
      <w:r>
        <w:t>Verfügbarer Erlös ist der tatsächlich vereinnahmte Kaufpreis abzüglich der im Verkauf ausdrücklich gemeinsam übernommenen Transaktionskosten und vereinbarten Einbehalte. Individuelle Beraterkosten, persönliche Steuern und Sondervergütungen eines Verkäufers werden nicht ohne ausdrückliche Zustimmung aller Betroffenen vom gemeinsamen Erlös abgezogen. Sachgegenleistungen werden nach einer gesondert vereinbarten Bewertungs- und Zuteilungsregel behandelt.</w:t>
      </w:r>
    </w:p>
    <w:p>
      <w:pPr>
        <w:pStyle w:val="Heading2"/>
        <w:widowControl/>
        <w:keepNext/>
      </w:pPr>
      <w:r>
        <w:t>14.2 Verhandelte Vorrechte</w:t>
      </w:r>
    </w:p>
    <w:p>
      <w:pPr>
        <w:pStyle w:val="Normal"/>
        <w:widowControl/>
      </w:pPr>
      <w:r>
        <w:t>Nach dem derzeitigen Term Sheet soll GHI einen nicht teilnehmenden Vorrang in Höhe des eineinhalbfachen tatsächlich gezahlten Ausgabebetrags erhalten. JKL soll einen nicht teilnehmenden Vorrang in Höhe seines tatsächlich gezahlten Ausgabebetrags erhalten. Bei vollständiger Finanzierung ergeben sich damit rechnerische Sockel von 11.250.000 EUR für GHI und 2.500.000 EUR für JKL; nach ausschließlich erster Tranche sind es 6.750.000 EUR und 1.500.000 EUR. Nicht gezahlte Zusagen erhöhen diese Sockel nicht.</w:t>
      </w:r>
    </w:p>
    <w:p>
      <w:pPr>
        <w:pStyle w:val="Normal"/>
        <w:widowControl/>
      </w:pPr>
      <w:r>
        <w:t>Für ABC ist ein nicht teilnehmender Vorrang auf Basis von 4.000.000 EUR, für den Business Angel ein nicht teilnehmender Vorrang auf Basis von 500.000 EUR und für DEF ein teilnehmender Vorrang auf Basis von 3.000.000 EUR mit einer Gesamtauszahlungsgrenze von 6.000.000 EUR vorgesehen. Die Bestätigung der historischen Zahlungen und ihrer rechtlichen Zuordnung ist vor Unterzeichnung in die Präferenzanlage aufzunehmen. Die Gründer erhalten keinen eigenen Präferenzsockel.</w:t>
      </w:r>
    </w:p>
    <w:p>
      <w:pPr>
        <w:pStyle w:val="Heading2"/>
        <w:widowControl/>
        <w:keepNext/>
      </w:pPr>
      <w:r>
        <w:t>14.3 Noch festzulegende Rangfolge</w:t>
      </w:r>
    </w:p>
    <w:p>
      <w:pPr>
        <w:pStyle w:val="Normal"/>
        <w:widowControl/>
      </w:pPr>
      <w:r>
        <w:t>Die Rangfolge zwischen neuen Investoren, bestehenden Investoren und Business Angel wird in der endgültigen Anlage mit jeder Stufe und jedem Gleichrang festgelegt: [Rangfolge und Aufteilung bei Unterdeckung]. Die vorstehenden Beträge allein begründen keine eindeutige Rangfolge. Solange diese Anlage nicht vollständig vereinbart ist, darf die vorliegende Verhandlungsfassung nicht als Zahlungsanweisung oder abschließend vereinbarter Verteilungsschlüssel verwendet werden.</w:t>
      </w:r>
    </w:p>
    <w:p>
      <w:pPr>
        <w:pStyle w:val="Normal"/>
        <w:widowControl/>
      </w:pPr>
      <w:r>
        <w:t>Für gleichrangige Sockel vereinbaren die Parteien eine verhältnismäßige Kürzung nach den ungedeckten Sockelbeträgen, sofern sie keinen anderen ausdrücklich beschriebenen Schlüssel wählen. Eine nachrangige Stufe erhält erst dann einen Betrag, wenn die vorrangige Stufe nach dem gewählten Modell bedient ist. Kein Beteiligter erhält einen negativen Verteilungsbetrag; keine Summe darf den verfügbaren Erlös übersteigen.</w:t>
      </w:r>
    </w:p>
    <w:p>
      <w:pPr>
        <w:pStyle w:val="Heading2"/>
        <w:widowControl/>
        <w:keepNext/>
      </w:pPr>
      <w:r>
        <w:t>14.4 Nicht teilnehmende Vorrechte und Wahl</w:t>
      </w:r>
    </w:p>
    <w:p>
      <w:pPr>
        <w:pStyle w:val="Normal"/>
        <w:widowControl/>
      </w:pPr>
      <w:r>
        <w:t>Ein Berechtigter mit nicht teilnehmendem Vorrecht nimmt entweder den vereinbarten Vorrang in Anspruch oder verzichtet für das betreffende Verteilungsereignis darauf und beteiligt sich wie ein Stammgesellschafter am hierfür verfügbaren Betrag. Er erhält nicht zugleich den vollständigen Sockel und eine zusätzliche Stammanteilsquote. Die Parteien bestimmen vor Unterzeichnung, ob die Wahl je Gesellschafter oder einheitlich je Klasse erfolgt und welche Mehrheit eine Klassenwahl bindend treffen darf: [Wahlberechtigung und Bindungswirkung].</w:t>
      </w:r>
    </w:p>
    <w:p>
      <w:pPr>
        <w:pStyle w:val="Normal"/>
        <w:widowControl/>
      </w:pPr>
      <w:r>
        <w:t>Die für den Verkauf zuständige Abwicklungsstelle legt vor der Wahl eine vollständige Rechnung der relevanten Wahlszenarien vor. Die Rechnung berücksichtigt, dass die Entscheidung eines Berechtigten den Restbetrag und den Kreis der weiteren Empfänger verändert. Die Wahl wird innerhalb von [Frist] in der vereinbarten Form erklärt. Isolierte Höchstbeträge aus untereinander unvereinbaren Szenarien werden nicht addiert.</w:t>
      </w:r>
    </w:p>
    <w:p>
      <w:pPr>
        <w:pStyle w:val="Heading2"/>
        <w:widowControl/>
        <w:keepNext/>
      </w:pPr>
      <w:r>
        <w:t>14.5 Teilnehmender Vorrang und spätere Zahlungen</w:t>
      </w:r>
    </w:p>
    <w:p>
      <w:pPr>
        <w:pStyle w:val="Normal"/>
        <w:widowControl/>
      </w:pPr>
      <w:r>
        <w:t>Soweit DEF seinen teilnehmenden Vorrang beansprucht, wird eine zusätzliche Restbeteiligung nur bis zur vereinbarten Gesamtgrenze gewährt. Die endgültige Anlage bestimmt, ob DEF stattdessen auf Vorrang und Cap verzichten und vollständig wie ein Stammgesellschafter teilnehmen kann. Bereits aus demselben Verteilungsereignis erhaltene Beträge werden auf die Gesamtgrenze angerechnet.</w:t>
      </w:r>
    </w:p>
    <w:p>
      <w:pPr>
        <w:pStyle w:val="Normal"/>
        <w:widowControl/>
      </w:pPr>
      <w:r>
        <w:t>Später vereinnahmte Earn-out-Beträge, Freigaben aus Einbehalten und Kaufpreiskorrekturen werden kumulativ mit den bereits abgerechneten Zahlungen berechnet. Ein Präferenzsockel lebt nicht bei jeder Teilzahlung neu auf. Die Abrechnung weist bisherigen Gesamterlös, bisherige Auszahlungen, neu verfügbaren Betrag und Differenzzahlungen je Beteiligtem aus. Für Rückforderungen wird ein gesonderter, auf den tatsächlich empfangenen Betrag begrenzter Ausgleichsmechanismus vereinbart.</w:t>
      </w:r>
    </w:p>
    <w:p>
      <w:pPr>
        <w:pStyle w:val="Heading1"/>
        <w:widowControl/>
        <w:keepNext/>
      </w:pPr>
      <w:r>
        <w:t>15 Verwässerung und Bezugsrechte</w:t>
      </w:r>
    </w:p>
    <w:p>
      <w:pPr>
        <w:pStyle w:val="Heading2"/>
        <w:widowControl/>
        <w:keepNext/>
      </w:pPr>
      <w:r>
        <w:t>15.1 Anpassungsereignis</w:t>
      </w:r>
    </w:p>
    <w:p>
      <w:pPr>
        <w:pStyle w:val="Normal"/>
        <w:widowControl/>
      </w:pPr>
      <w:r>
        <w:t>Ein wirtschaftlicher Verwässerungsschutz setzt voraus, dass die Gesellschaft nach dieser Runde neue Anteile zu einem niedrigeren vergleichbaren Ausgabepreis ausgibt. Nicht jede Ausgabe eines Anteils ist vergleichbar; Gegenleistung, Rechteklasse, mitübernommene Verpflichtungen und Nebenleistungen sind einzubeziehen. Die geschützten Anteilklassen und sachlich begründeten Ausnahmen werden in Anlage [Verwässerungsschutz] abschließend bezeichnet.</w:t>
      </w:r>
    </w:p>
    <w:p>
      <w:pPr>
        <w:pStyle w:val="Heading2"/>
        <w:widowControl/>
        <w:keepNext/>
      </w:pPr>
      <w:r>
        <w:t>15.2 Gewichteter Durchschnitt</w:t>
      </w:r>
    </w:p>
    <w:p>
      <w:pPr>
        <w:pStyle w:val="Normal"/>
        <w:widowControl/>
      </w:pPr>
      <w:r>
        <w:t>Nach dem Verhandlungsstand soll ein breit gewichteter Durchschnitt und kein vollständiger Ratchet vereinbart werden. Der Anpassungspreis CP2 wird aus CP1 × (A + B) / (A + C) berechnet. CP1 ist der bisherige geschützte Preis; A ist die in der Anlage definierte vollständig verwässerte Basis unmittelbar vor der neuen Runde; B ist die neue Gegenleistung geteilt durch CP1; C ist die tatsächlich neu ausgegebene oder gleichgestellte Anteilzahl. Einheiten, eingeschlossene Programme und Rundung werden ausdrücklich festgelegt.</w:t>
      </w:r>
    </w:p>
    <w:p>
      <w:pPr>
        <w:pStyle w:val="Normal"/>
        <w:widowControl/>
      </w:pPr>
      <w:r>
        <w:t>Die Berechnung erzeugt keine Geschäftsanteile von selbst. Die Parteien vereinbaren vor Unterzeichnung den rechtlich zulässigen Umsetzungsweg, einschließlich notwendiger Beschlüsse, Übernahmeerklärungen und Einzahlungen. Eine zusätzliche Belastung eines Gesellschafters bedarf der erforderlichen Zustimmung. Unentgeltliche oder rückwirkend fingierte Kapitalaufbringung wird nicht zugesagt.</w:t>
      </w:r>
    </w:p>
    <w:p>
      <w:pPr>
        <w:pStyle w:val="Heading2"/>
        <w:widowControl/>
        <w:keepNext/>
      </w:pPr>
      <w:r>
        <w:t>15.3 Ausnahmen und spätere Runde</w:t>
      </w:r>
    </w:p>
    <w:p>
      <w:pPr>
        <w:pStyle w:val="Normal"/>
        <w:widowControl/>
      </w:pPr>
      <w:r>
        <w:t>Ausnahmen für Mitarbeiterprogramme müssen einen konkreten genehmigten Umfang und Zeitraum nennen. Eine unbeschränkte Ausnahme für jede später vom Beirat gebilligte Ausgabe ist nicht vereinbart. Aufspaltung einer einheitlichen Runde oder wirtschaftlich gleichwertige Nebenabreden werden bei der Vergleichsrechnung berücksichtigt.</w:t>
      </w:r>
    </w:p>
    <w:p>
      <w:pPr>
        <w:pStyle w:val="Normal"/>
        <w:widowControl/>
      </w:pPr>
      <w:r>
        <w:t>Gesetzliche und wirksam vereinbarte Bezugsrechte bleiben von der bloßen Rechenformel unberührt. Keine Partei schuldet weitere Eigenmittel oder Sicherheiten, die sie nicht ausdrücklich übernommen hat. Bei einer späteren Runde werden die aktuelle Liste, die bereits vollzogenen Tranchen und sämtliche noch offenen Optionsrechte erneut abgeglichen.</w:t>
      </w:r>
    </w:p>
    <w:p>
      <w:pPr>
        <w:pStyle w:val="Heading1"/>
        <w:widowControl/>
        <w:keepNext/>
      </w:pPr>
      <w:r>
        <w:t>16 Gründerbindung und zeitliche Freigabe</w:t>
      </w:r>
    </w:p>
    <w:p>
      <w:pPr>
        <w:pStyle w:val="Heading2"/>
        <w:widowControl/>
        <w:keepNext/>
      </w:pPr>
      <w:r>
        <w:t>16.1 Gegenstand</w:t>
      </w:r>
    </w:p>
    <w:p>
      <w:pPr>
        <w:pStyle w:val="Normal"/>
        <w:widowControl/>
      </w:pPr>
      <w:r>
        <w:t>Eine zeitliche Bindung betrifft nur die in Anlage [gebundene Gründeranteile] genau bezeichneten Anteile. Bereits unabhängig erworbene, vollwertig bezahlte oder aus anderen Gründen geschützte Beteiligungen werden nicht allein wegen der Gründerstellung einer Rückerwerbsoption unterworfen. Die Parteien dokumentieren Erwerbsgrund, Kapitaleinsatz und Zweck der vereinbarten Bindung.</w:t>
      </w:r>
    </w:p>
    <w:p>
      <w:pPr>
        <w:pStyle w:val="Normal"/>
        <w:widowControl/>
      </w:pPr>
      <w:r>
        <w:t>Die vorgesehene Freigabezeit beträgt 48 Monate ab [Beginn unter Berücksichtigung anerkannter Vorleistungen]. Nach Ablauf von zwölf Monaten werden 12 von 48 gleichen Zeitanteilen freigegeben; danach wird für jeden vollendeten weiteren Monat ein weiterer Zeitanteil freigegeben. Die Zuordnung auf konkrete unteilbare Geschäftsanteile und die Rundung werden in der Anlage so festgelegt, dass nach 48 Monaten keine Restbindung allein aus Rundungsdifferenzen verbleibt.</w:t>
      </w:r>
    </w:p>
    <w:p>
      <w:pPr>
        <w:pStyle w:val="Heading2"/>
        <w:widowControl/>
        <w:keepNext/>
      </w:pPr>
      <w:r>
        <w:t>16.2 Unterbrechung und besondere Lebenslagen</w:t>
      </w:r>
    </w:p>
    <w:p>
      <w:pPr>
        <w:pStyle w:val="Normal"/>
        <w:widowControl/>
      </w:pPr>
      <w:r>
        <w:t>Krankheit, Elternzeit, Mutterschutz und andere gesetzlich geschützte Abwesenheiten werden nicht automatisch als Pflichtverletzung behandelt. Ob und in welchem zulässigen Umfang sie die zeitliche Freigabe beeinflussen, bedarf einer ausdrücklichen, nach Anlass und Dauer differenzierten Vereinbarung. Der Vertrag enthält keine Pflicht, auf gesetzliche Schutzrechte zu verzichten.</w:t>
      </w:r>
    </w:p>
    <w:p>
      <w:pPr>
        <w:pStyle w:val="Normal"/>
        <w:widowControl/>
      </w:pPr>
      <w:r>
        <w:t>Bei einem Kontrollwechsel bestimmen die Parteien vor Unterzeichnung, ob eine beschleunigte Freigabe erst bei zusätzlichem Verlust der Tätigkeit oder bereits beim Verkauf eintreten soll. Die gewählte Regel wird mit Mitverkauf und Erlösverteilung abgestimmt. Eine Beschleunigung entsteht nicht allein durch die Verwendung des englischen Ausdrucks Vesting.</w:t>
      </w:r>
    </w:p>
    <w:p>
      <w:pPr>
        <w:pStyle w:val="Heading2"/>
        <w:widowControl/>
        <w:keepNext/>
      </w:pPr>
      <w:r>
        <w:t>16.3 Grund für eine Erwerbsoption</w:t>
      </w:r>
    </w:p>
    <w:p>
      <w:pPr>
        <w:pStyle w:val="Normal"/>
        <w:widowControl/>
      </w:pPr>
      <w:r>
        <w:t>Eine Erwerbsoption bei Ausscheiden setzt einen in der endgültigen Anlage sachlich beschriebenen Anlass voraus. Grundlose Abberufung, ordentliche Eigenkündigung, berechtigte Kündigung aus wichtigem Grund, Tod und schwerwiegende schuldhafte Pflichtverletzung werden getrennt geregelt. Eine freie, allein durch Mehrheitswillen auslösbare Entfernung des Gründers wird mit diesem Entwurf nicht vereinbart.</w:t>
      </w:r>
    </w:p>
    <w:p>
      <w:pPr>
        <w:pStyle w:val="Normal"/>
        <w:widowControl/>
      </w:pPr>
      <w:r>
        <w:t>Vor einer auf Pflichtverletzung gestützten Ausübung erhält der Betroffene die konkrete Beanstandung und Gelegenheit zur Stellungnahme. Bei einem behebbaren Verstoß ist eine angemessene Abhilfefrist vorzusehen. Ein bloßer Verdacht oder die Behauptung eines interessierten Mitgesellschafters bewirkt keinen endgültigen Verlust der Beteiligung. Zwingende Eilmaßnahmen und gerichtliche Sicherung bleiben möglich.</w:t>
      </w:r>
    </w:p>
    <w:p>
      <w:pPr>
        <w:pStyle w:val="Heading2"/>
        <w:widowControl/>
        <w:keepNext/>
      </w:pPr>
      <w:r>
        <w:t>16.4 Preis und Ausübung</w:t>
      </w:r>
    </w:p>
    <w:p>
      <w:pPr>
        <w:pStyle w:val="Normal"/>
        <w:widowControl/>
      </w:pPr>
      <w:r>
        <w:t>Für freigegebene und noch gebundene Anteile werden Preisregel, Bewertungsstichtag und Ausübungsfrist gesondert festgelegt: [Preisregel je sachlich unterschiedenem Ausscheidensgrund]. Ein vollständiger Abfindungsverlust oder ein pauschaler Nennwertpreis für sämtliche Anteile wird nicht als allgemeiner Standard eingesetzt. Nachgewiesene Schadensersatzansprüche werden getrennt geltend gemacht; eine doppelte Belastung durch Abfindungskürzung und denselben Schaden ist zu vermeiden.</w:t>
      </w:r>
    </w:p>
    <w:p>
      <w:pPr>
        <w:pStyle w:val="Normal"/>
        <w:widowControl/>
      </w:pPr>
      <w:r>
        <w:t>Die Ausübung benennt Grund, Anteile, Erwerber und Preisermittlung. Der Erwerber muss seine Finanzierung nachweisen. Übertragung, Zahlung und eine gegebenenfalls notwendige Sicherheit werden in der gesetzlich erforderlichen Form abgestimmt. Eine unwiderrufliche Vollmacht darf nicht dazu genutzt werden, den vereinbarten Ausübungsgrund oder eine gerichtliche Kontrolle zu umgehen.</w:t>
      </w:r>
    </w:p>
    <w:p>
      <w:pPr>
        <w:pStyle w:val="Heading1"/>
        <w:widowControl/>
        <w:keepNext/>
      </w:pPr>
      <w:r>
        <w:t>17 Bewertung und Kapitalerhaltung</w:t>
      </w:r>
    </w:p>
    <w:p>
      <w:pPr>
        <w:pStyle w:val="Heading2"/>
        <w:widowControl/>
        <w:keepNext/>
      </w:pPr>
      <w:r>
        <w:t>17.1 Bewertungsverfahren</w:t>
      </w:r>
    </w:p>
    <w:p>
      <w:pPr>
        <w:pStyle w:val="Normal"/>
        <w:widowControl/>
      </w:pPr>
      <w:r>
        <w:t>Soweit ein Verkehrswert benötigt wird, bestimmen die Parteien gemeinsam einen unabhängigen Wirtschaftsprüfer mit Erfahrung in technologieorientierten Unternehmen. Kommt innerhalb von zehn Arbeitstagen keine Einigung zustande, erfolgt die Benennung durch [unabhängige benennende Stelle nach deren bestätigter Bereitschaft]. Der Gutachter legt Annahmen, Stichtag, Methode, Anteilklassen und wesentliche Unsicherheiten offen.</w:t>
      </w:r>
    </w:p>
    <w:p>
      <w:pPr>
        <w:pStyle w:val="Normal"/>
        <w:widowControl/>
      </w:pPr>
      <w:r>
        <w:t>Die letzte Finanzierungsbewertung ist ein Anhaltspunkt, aber nicht ohne Prüfung der Rechte und zwischenzeitlichen Entwicklung der Wert jedes Anteils. Verbindlichkeiten, vorhandene Liquidität, nicht betriebsnotwendiges Vermögen, offene Vorrechte und mögliche Verwässerung werden ohne Doppelzählung berücksichtigt. Ob ein Minderheitsabschlag zulässig und vereinbart ist, wird ausdrücklich bestimmt; der Gutachter darf ihn nicht stillschweigend einführen.</w:t>
      </w:r>
    </w:p>
    <w:p>
      <w:pPr>
        <w:pStyle w:val="Heading2"/>
        <w:widowControl/>
        <w:keepNext/>
      </w:pPr>
      <w:r>
        <w:t>17.2 Gutachter und Gericht</w:t>
      </w:r>
    </w:p>
    <w:p>
      <w:pPr>
        <w:pStyle w:val="Normal"/>
        <w:widowControl/>
      </w:pPr>
      <w:r>
        <w:t>Der Gutachter ermittelt die ihm übertragenen wirtschaftlichen Größen als Schiedsgutachter nach der vereinbarten Maßgabe. Er entscheidet nicht abschließend über die Wirksamkeit einer Ausschluss- oder Abfindungsklausel. Gesetzliche Kontrolle, insbesondere nach Paragrafen 317 bis 319 BGB, bleibt unberührt. Die Parteien erhalten Gelegenheit, Tatsachen und Unterlagen einzureichen und auf neue erhebliche Annahmen zu reagieren.</w:t>
      </w:r>
    </w:p>
    <w:p>
      <w:pPr>
        <w:pStyle w:val="Heading2"/>
        <w:widowControl/>
        <w:keepNext/>
      </w:pPr>
      <w:r>
        <w:t>17.3 Zahlung aus Gesellschaftsmitteln</w:t>
      </w:r>
    </w:p>
    <w:p>
      <w:pPr>
        <w:pStyle w:val="Normal"/>
        <w:widowControl/>
      </w:pPr>
      <w:r>
        <w:t>Eine Verpflichtung der Gesellschaft zum Erwerb eigener Anteile, zur Abfindung oder zur sonstigen Auszahlung steht unter den zwingenden Grenzen der Kapitalerhaltung. Bereits bei Beschlussfassung sind rechtliche Zulässigkeit und Finanzierung zu prüfen. Die bloße Vereinbarung späterer Fälligkeit oder einer Ratenzahlung ersetzt diese Prüfung nicht.</w:t>
      </w:r>
    </w:p>
    <w:p>
      <w:pPr>
        <w:pStyle w:val="Normal"/>
        <w:widowControl/>
      </w:pPr>
      <w:r>
        <w:t>Kann die Gesellschaft nicht rechtmäßig zahlen, entsteht dadurch keine automatische Pflicht der übrigen Gesellschafter, persönlich einzustehen. Ein Erwerb durch Mitgesellschafter oder Dritte bedarf einer gesonderten Vereinbarung. Gesetzliche Organpflichten und das Verbot unzulässiger Auszahlungen bleiben auch bei einstimmigem Wunsch der Beteiligten bestehen.</w:t>
      </w:r>
    </w:p>
    <w:p>
      <w:pPr>
        <w:pStyle w:val="Heading1"/>
        <w:widowControl/>
        <w:keepNext/>
      </w:pPr>
      <w:r>
        <w:t>18 Rechte an Technik und Arbeitsergebnissen</w:t>
      </w:r>
    </w:p>
    <w:p>
      <w:pPr>
        <w:pStyle w:val="Heading2"/>
        <w:widowControl/>
        <w:keepNext/>
      </w:pPr>
      <w:r>
        <w:t>18.1 Bestandsverzeichnis</w:t>
      </w:r>
    </w:p>
    <w:p>
      <w:pPr>
        <w:pStyle w:val="Normal"/>
        <w:widowControl/>
      </w:pPr>
      <w:r>
        <w:t>Die Gesellschaft führt ein Verzeichnis der für ihr Geschäft wesentlichen Software, Konstruktionen, Marken, Domains, Dokumentationen und sonstigen geschützten Ergebnisse. Das Verzeichnis nennt Ursprung, Rechtsinhaber, Vertrag, Nutzungsumfang, Übertragbarkeit und bekannte Beschränkungen. Die Parteien bestätigen nur die konkret beigefügten Nachweise, nicht pauschal sämtliche im Unternehmen verwendeten Inhalte.</w:t>
      </w:r>
    </w:p>
    <w:p>
      <w:pPr>
        <w:pStyle w:val="Normal"/>
        <w:widowControl/>
      </w:pPr>
      <w:r>
        <w:t>Vor dem ersten Vollzug sind die als zwingend bezeichneten Rechteketten zu schließen. Für nachzuholende Unterlagen werden verantwortlicher Beteiligter, konkrete Erklärung und Termin vereinbart. Ein Zugang zu einem Quellcodeverzeichnis, die Bezahlung einer Rechnung oder die bloße Organstellung eines Entwicklers ersetzt keinen fehlenden Rechtevertrag.</w:t>
      </w:r>
    </w:p>
    <w:p>
      <w:pPr>
        <w:pStyle w:val="Heading2"/>
        <w:widowControl/>
        <w:keepNext/>
      </w:pPr>
      <w:r>
        <w:t>18.2 Nutzungsrechte</w:t>
      </w:r>
    </w:p>
    <w:p>
      <w:pPr>
        <w:pStyle w:val="Normal"/>
        <w:widowControl/>
      </w:pPr>
      <w:r>
        <w:t>Soweit ein Gründer selbst Rechteinhaber an einem in der Anlage bezeichneten Werk ist, räumt er der Gesellschaft die dort einzeln beschriebenen, für Entwicklung, Herstellung, Vertrieb, Wartung und Fortentwicklung erforderlichen Nutzungsrechte ein. Räumlicher, zeitlicher und inhaltlicher Umfang, Ausschließlichkeit, Übertragbarkeit und Unterlizenzierung werden ausdrücklich bestimmt. Das Urheberrecht als solches wird nicht entgegen Paragraf 29 UrhG als frei übertragbares Eigentum behandelt.</w:t>
      </w:r>
    </w:p>
    <w:p>
      <w:pPr>
        <w:pStyle w:val="Normal"/>
        <w:widowControl/>
      </w:pPr>
      <w:r>
        <w:t>Rechte Dritter und Open-Source-Komponenten werden offengelegt und nach ihren tatsächlichen Lizenzbedingungen genutzt. Eine gesellschaftsrechtliche Zusage ändert diese Bedingungen nicht. Arbeitnehmererfindungen, freie Mitarbeit, Geschäftsführerentwicklungen und vor Gründung entstandene Werke werden nach der jeweils einschlägigen Rechtsgrundlage gesondert zugeordnet.</w:t>
      </w:r>
    </w:p>
    <w:p>
      <w:pPr>
        <w:pStyle w:val="Heading2"/>
        <w:widowControl/>
        <w:keepNext/>
      </w:pPr>
      <w:r>
        <w:t>18.3 Mitwirkung und Haftung</w:t>
      </w:r>
    </w:p>
    <w:p>
      <w:pPr>
        <w:pStyle w:val="Normal"/>
        <w:widowControl/>
      </w:pPr>
      <w:r>
        <w:t>Der tatsächlich berechtigte Beteiligte wirkt an konkret erforderlichen Nachträgen, Erklärungen und zulässigen Registermaßnahmen mit. Er darf keinen Umfang zusichern, den er mangels eigener Berechtigung nicht verschaffen kann. Für eine bekannte Lücke vereinbaren die Parteien vorrangig einen bestimmten Nachholungsweg und eine angemessene Folge bei Nichterfüllung; die Lücke wird nicht durch eine unbestimmte allumfassende Garantie verdeckt.</w:t>
      </w:r>
    </w:p>
    <w:p>
      <w:pPr>
        <w:pStyle w:val="Heading1"/>
        <w:widowControl/>
        <w:keepNext/>
      </w:pPr>
      <w:r>
        <w:t>19 Tätigkeit und Wettbewerb</w:t>
      </w:r>
    </w:p>
    <w:p>
      <w:pPr>
        <w:pStyle w:val="Heading2"/>
        <w:widowControl/>
        <w:keepNext/>
      </w:pPr>
      <w:r>
        <w:t>19.1 Tätigkeitsverträge</w:t>
      </w:r>
    </w:p>
    <w:p>
      <w:pPr>
        <w:pStyle w:val="Normal"/>
        <w:widowControl/>
      </w:pPr>
      <w:r>
        <w:t>Geschäftsführer- und Arbeitsverträge werden gesondert abgeschlossen. Aufgaben, Vergütung, Arbeitsumfang, Kündigung und gesetzliche Schutzrechte ergeben sich aus diesen Verträgen und dem jeweils anwendbaren Recht. Die Gesellschafterstellung allein begründet keine unbegrenzte unentgeltliche Arbeitsverpflichtung. Die Beendigung eines Dienstvertrags führt nur nach einer gesondert wirksam vereinbarten Regel zum Verlust von Anteilen.</w:t>
      </w:r>
    </w:p>
    <w:p>
      <w:pPr>
        <w:pStyle w:val="Heading2"/>
        <w:widowControl/>
        <w:keepNext/>
      </w:pPr>
      <w:r>
        <w:t>19.2 Wettbewerb und Beteiligungen</w:t>
      </w:r>
    </w:p>
    <w:p>
      <w:pPr>
        <w:pStyle w:val="Normal"/>
        <w:widowControl/>
      </w:pPr>
      <w:r>
        <w:t>Ein Wettbewerbsverbot während der Tätigkeit erfasst nur konkret konkurrierende Tätigkeiten im tatsächlichen Geschäftsfeld der Gesellschaft. Bestehende zulässige Tätigkeiten und passive Beteiligungen werden in einer Anlage offengelegt. Ein nachvertragliches Verbot bedarf einer gesonderten Regelung zu Gegenstand, Gebiet, Dauer und gegebenenfalls Entschädigung; Arbeitnehmer und Geschäftsführer werden nicht ungeprüft gleichbehandelt.</w:t>
      </w:r>
    </w:p>
    <w:p>
      <w:pPr>
        <w:pStyle w:val="Normal"/>
        <w:widowControl/>
      </w:pPr>
      <w:r>
        <w:t>Die Parteien vereinbaren mit dieser Arbeitsfassung kein weltweites Verbot jeder technischen oder friseurnahen Tätigkeit. Bei der Ausgestaltung werden Schutzinteresse der Gesellschaft und berufliche Betätigung des Betroffenen berücksichtigt. Gesetzlich geschützte Mitteilungen an zuständige Stellen werden weder durch Wettbewerbsregeln noch durch Vertraulichkeit untersagt.</w:t>
      </w:r>
    </w:p>
    <w:p>
      <w:pPr>
        <w:pStyle w:val="Heading1"/>
        <w:widowControl/>
        <w:keepNext/>
      </w:pPr>
      <w:r>
        <w:t>20 Vertraulichkeit und Kommunikation</w:t>
      </w:r>
    </w:p>
    <w:p>
      <w:pPr>
        <w:pStyle w:val="Heading2"/>
        <w:widowControl/>
        <w:keepNext/>
      </w:pPr>
      <w:r>
        <w:t>20.1 Vertrauliche Informationen</w:t>
      </w:r>
    </w:p>
    <w:p>
      <w:pPr>
        <w:pStyle w:val="Normal"/>
        <w:widowControl/>
      </w:pPr>
      <w:r>
        <w:t>Die Parteien verwenden nicht öffentliche geschäftliche und technische Informationen nur zur Durchführung ihrer Beteiligung und dieser Vereinbarung. Zugang erhalten nur diejenigen Berater, Mitarbeiter und berechtigten Fondsverantwortlichen, die ihn für diesen Zweck benötigen und einer angemessenen Vertraulichkeitsbindung unterliegen. Eine öffentliche Mitteilung über die Finanzierung wird vor Veröffentlichung abgestimmt, soweit keine gesetzliche Veröffentlichungspflicht entgegensteht.</w:t>
      </w:r>
    </w:p>
    <w:p>
      <w:pPr>
        <w:pStyle w:val="Normal"/>
        <w:widowControl/>
      </w:pPr>
      <w:r>
        <w:t>Nicht erfasst sind Informationen, die nachweisbar ohne Pflichtverletzung öffentlich bekannt sind, rechtmäßig von einem berechtigten Dritten erlangt wurden oder unabhängig entwickelt wurden. Gesetzlich gebotene Offenlegungen und zulässige Meldungen bleiben möglich. Soweit rechtlich zulässig, wird die Gesellschaft vor einer erzwungenen Offenlegung rechtzeitig informiert, um Schutzmaßnahmen prüfen zu können.</w:t>
      </w:r>
    </w:p>
    <w:p>
      <w:pPr>
        <w:pStyle w:val="Heading2"/>
        <w:widowControl/>
        <w:keepNext/>
      </w:pPr>
      <w:r>
        <w:t>20.2 Datenraum und Rückgabe</w:t>
      </w:r>
    </w:p>
    <w:p>
      <w:pPr>
        <w:pStyle w:val="Normal"/>
        <w:widowControl/>
      </w:pPr>
      <w:r>
        <w:t>Der Datenraum enthält nur für die Transaktion erforderliche Unterlagen. Persönliche Ausweisdaten, sensible Personalunterlagen und unbereinigte Kundendaten werden nicht ohne konkrete Berechtigung allgemein verteilt. Nach Ende der Berechtigung werden Zugänge entzogen und Unterlagen nach Maßgabe gesetzlicher Aufbewahrung und berechtigter Nachweissicherung zurückgegeben oder gelöscht. Die Erfüllung dieser Pflicht wird auf begründetes Verlangen bestätigt.</w:t>
      </w:r>
    </w:p>
    <w:p>
      <w:pPr>
        <w:pStyle w:val="Heading1"/>
        <w:widowControl/>
        <w:keepNext/>
      </w:pPr>
      <w:r>
        <w:t>21 Blockade und Streitbeilegung</w:t>
      </w:r>
    </w:p>
    <w:p>
      <w:pPr>
        <w:pStyle w:val="Heading2"/>
        <w:widowControl/>
        <w:keepNext/>
      </w:pPr>
      <w:r>
        <w:t>21.1 Entscheidungskonflikt</w:t>
      </w:r>
    </w:p>
    <w:p>
      <w:pPr>
        <w:pStyle w:val="Normal"/>
        <w:widowControl/>
      </w:pPr>
      <w:r>
        <w:t>Ein Entscheidungskonflikt liegt vor, wenn über denselben wesentlichen Gegenstand trotz ordnungsgemäßer Unterlagen und zweier Befassungen kein erforderlicher Beschluss zustande kommt und hierdurch eine konkret bezeichnete erhebliche Beeinträchtigung droht. Eine einzelne Gegenstimme oder die berechtigte Bitte um fehlende Unterlagen genügt nicht. Der Konflikt wird mit Gegenstand, bisherigen Vorschlägen und Folgen dokumentiert.</w:t>
      </w:r>
    </w:p>
    <w:p>
      <w:pPr>
        <w:pStyle w:val="Normal"/>
        <w:widowControl/>
      </w:pPr>
      <w:r>
        <w:t>Innerhalb von zehn Arbeitstagen beraten die benannten Vertreter der betroffenen Gruppen über eine Lösung. Bis dahin wird der gewöhnliche Geschäftsbetrieb im Rahmen des letzten rechtmäßig genehmigten Budgets fortgeführt, soweit dies rechtlich und wirtschaftlich vertretbar ist. Notwendige Sicherungsmaßnahmen und zwingende Organpflichten bleiben bestehen. Das Scheitern eines Gesprächs bewirkt keinen automatischen Zwangsverkauf.</w:t>
      </w:r>
    </w:p>
    <w:p>
      <w:pPr>
        <w:pStyle w:val="Heading2"/>
        <w:widowControl/>
        <w:keepNext/>
      </w:pPr>
      <w:r>
        <w:t>21.2 Vermittlung</w:t>
      </w:r>
    </w:p>
    <w:p>
      <w:pPr>
        <w:pStyle w:val="Normal"/>
        <w:widowControl/>
      </w:pPr>
      <w:r>
        <w:t>Die Parteien können einen unabhängigen Vermittler gemeinsam beauftragen. Seine Aufgabe besteht in der Unterstützung einer einvernehmlichen Lösung; er kann keine Kapitalerhöhung, Anteilsübertragung oder verbindliche Satzungsänderung anordnen. Die Vermittlung hemmt gesetzliche Fristen nur, soweit eine gesetzliche oder wirksam vereinbarte Grundlage dies tatsächlich bewirkt. Eilrechtsschutz bleibt zugänglich.</w:t>
      </w:r>
    </w:p>
    <w:p>
      <w:pPr>
        <w:pStyle w:val="Heading2"/>
        <w:widowControl/>
        <w:keepNext/>
      </w:pPr>
      <w:r>
        <w:t>21.3 Gerichtsbarkeit</w:t>
      </w:r>
    </w:p>
    <w:p>
      <w:pPr>
        <w:pStyle w:val="Normal"/>
        <w:widowControl/>
      </w:pPr>
      <w:r>
        <w:t>Mangels gesondert ausgearbeiteter und wirksam vereinbarter Schiedsregel verbleibt es bei den zuständigen staatlichen Gerichten. Ein zulässiger Gerichtsstand wird für die jeweils hierfür geeigneten Parteien und Streitgegenstände gesondert bestimmt. Beschlussmängelstreitigkeiten werden nicht durch eine pauschale Bezugnahme auf ein unbenanntes Schiedsgericht ausgelagert.</w:t>
      </w:r>
    </w:p>
    <w:p>
      <w:pPr>
        <w:pStyle w:val="Normal"/>
        <w:widowControl/>
      </w:pPr>
      <w:r>
        <w:t>Soll eine Schiedsvereinbarung aufgenommen werden, ist sie vor Unterzeichnung mit Beteiligung sämtlicher Betroffener, Informationsrechten, Besetzungsregeln, Verfahrenskonzentration und Eilrechtsschutz vollständig zu gestalten. Ein Schiedsgutachter für wirtschaftliche Bewertung ist kein Ersatz hierfür.</w:t>
      </w:r>
    </w:p>
    <w:p>
      <w:pPr>
        <w:pStyle w:val="Heading1"/>
        <w:widowControl/>
        <w:keepNext/>
      </w:pPr>
      <w:r>
        <w:t>22 Zusicherungen und Haftung</w:t>
      </w:r>
    </w:p>
    <w:p>
      <w:pPr>
        <w:pStyle w:val="Heading2"/>
        <w:widowControl/>
        <w:keepNext/>
      </w:pPr>
      <w:r>
        <w:t>22.1 Begrenzte Zusicherungen</w:t>
      </w:r>
    </w:p>
    <w:p>
      <w:pPr>
        <w:pStyle w:val="Normal"/>
        <w:widowControl/>
      </w:pPr>
      <w:r>
        <w:t>Jeder Beteiligte sichert im endgültig vereinbarten Umfang seine Identität, Vertretungsmacht und Verfügungsbefugnis über die ausdrücklich bezeichneten eigenen Anteile zu. Weitergehende Zusicherungen über Betrieb, Technik, Steuern oder historische Geschäftsvorgänge werden nur in einer gesonderten Garantieanlage mit erklärender Person, Kenntnismaßstab, Stichtag und offengelegten Ausnahmen vereinbart.</w:t>
      </w:r>
    </w:p>
    <w:p>
      <w:pPr>
        <w:pStyle w:val="Normal"/>
        <w:widowControl/>
      </w:pPr>
      <w:r>
        <w:t>Die Gesellschaft garantiert weder einen bestimmten Unternehmenswert noch einen erfolgreichen Markteintritt. Investoren garantieren keine Folgefinanzierung, soweit sie nicht ausdrücklich verbindlich zugesagt ist. Prognosen werden mit ihren Annahmen offengelegt und nicht als bereits eingetretene Tatsachen dargestellt.</w:t>
      </w:r>
    </w:p>
    <w:p>
      <w:pPr>
        <w:pStyle w:val="Heading2"/>
        <w:widowControl/>
        <w:keepNext/>
      </w:pPr>
      <w:r>
        <w:t>22.2 Verfahren bei Pflichtverletzung</w:t>
      </w:r>
    </w:p>
    <w:p>
      <w:pPr>
        <w:pStyle w:val="Normal"/>
        <w:widowControl/>
      </w:pPr>
      <w:r>
        <w:t>Der Anspruchsteller bezeichnet die verletzte Pflicht, den bekannten Sachverhalt und die beanspruchte Rechtsfolge. Bei behebbaren Verstößen wird vor weitergehenden Maßnahmen eine angemessene Gelegenheit zur Abhilfe eingeräumt, soweit sie nicht unzumutbar oder gesetzlich entbehrlich ist. Schaden, Ursächlichkeit und gegebenenfalls Verschulden sind nach den anwendbaren Regeln zu prüfen; der Vertrag ersetzt diese Voraussetzungen nicht durch eine pauschale Erfolgszusage.</w:t>
      </w:r>
    </w:p>
    <w:p>
      <w:pPr>
        <w:pStyle w:val="Normal"/>
        <w:widowControl/>
      </w:pPr>
      <w:r>
        <w:t>Haftungshöchstbeträge, Verjährung, Freigrenzen und Sonderregeln bedürfen einer konkreten Vereinbarung unter Beachtung zwingender Grenzen. Vorsatz und andere zwingend geschützte Haftungstatbestände werden nicht durch eine allgemeine Haftungsklausel ausgeschlossen. Ein Beteiligter soll denselben wirtschaftlichen Nachteil nicht mehrfach als Kaufpreisanpassung, Präferenz, Vertragsstrafe und Schadensersatz ersetzt erhalten.</w:t>
      </w:r>
    </w:p>
    <w:p>
      <w:pPr>
        <w:pStyle w:val="Heading1"/>
        <w:widowControl/>
        <w:keepNext/>
      </w:pPr>
      <w:r>
        <w:t>23 Kosten, Änderungen und Laufzeit</w:t>
      </w:r>
    </w:p>
    <w:p>
      <w:pPr>
        <w:pStyle w:val="Heading2"/>
        <w:widowControl/>
        <w:keepNext/>
      </w:pPr>
      <w:r>
        <w:t>23.1 Kosten</w:t>
      </w:r>
    </w:p>
    <w:p>
      <w:pPr>
        <w:pStyle w:val="Normal"/>
        <w:widowControl/>
      </w:pPr>
      <w:r>
        <w:t>Die Kostentragung für Beurkundung, Register und gemeinsame Transaktionsberatung wird vor Unterzeichnung nach Beteiligten und Kostenart bestimmt. Nach dem Verhandlungsstand sollen von der Gesellschaft nur nachgewiesene, angemessene und vorab bezeichnete externe Transaktionskosten bis insgesamt 75.000 EUR zuzüglich gesetzlicher Umsatzsteuer übernommen werden. Eigene interne Personalkosten und doppelt abgerechnete Leistungen sind davon nicht umfasst.</w:t>
      </w:r>
    </w:p>
    <w:p>
      <w:pPr>
        <w:pStyle w:val="Normal"/>
        <w:widowControl/>
      </w:pPr>
      <w:r>
        <w:t>Für ein Scheitern vor dem ersten Vollzug gilt ausschließlich die gesondert vereinbarte Regel aus dem verbindlichen Teil des Term Sheets oder eine spätere ausdrückliche Vereinbarung. Ein unverbindlicher Kostenansatz wird nicht nachträglich als unbegrenzte Erstattungspflicht ausgelegt. Zwingende gesetzliche Kostenschuld und interner Ausgleich sind auseinanderzuhalten.</w:t>
      </w:r>
    </w:p>
    <w:p>
      <w:pPr>
        <w:pStyle w:val="Heading2"/>
        <w:widowControl/>
        <w:keepNext/>
      </w:pPr>
      <w:r>
        <w:t>23.2 Änderungen und Beendigung</w:t>
      </w:r>
    </w:p>
    <w:p>
      <w:pPr>
        <w:pStyle w:val="Normal"/>
        <w:widowControl/>
      </w:pPr>
      <w:r>
        <w:t>Änderungen bedürfen der gesetzlich erforderlichen Form und der jeweils erforderlichen Zustimmung. Eine Textformklausel verdrängt keine Beurkundungspflicht. Zusätzliche Pflichten eines Gesellschafters werden nicht allein durch Mehrheitsbeschluss eingeführt, soweit seine Zustimmung erforderlich ist. Wesentliche wirtschaftliche Anlagen werden nicht durch eine bloße neue Tabellenfassung ausgetauscht.</w:t>
      </w:r>
    </w:p>
    <w:p>
      <w:pPr>
        <w:pStyle w:val="Normal"/>
        <w:widowControl/>
      </w:pPr>
      <w:r>
        <w:t>Die Vereinbarung gilt ab [wirksamer Abschluss] und endet für einen ausscheidenden Beteiligten grundsätzlich mit vollständigem rechtlichem und wirtschaftlichem Ausscheiden, soweit eine einzelne Pflicht ihrer Natur oder ausdrücklichen Regelung nach fortbesteht. Bereits entstandene Ansprüche, Vertraulichkeit, Abrechnung offener Erlöse und zulässige Nachwirkungen bleiben bestehen. Ein Ausscheiden beseitigt keine Verpflichtung zur Abwicklung bereits wirksam ausgeübter Rechte.</w:t>
      </w:r>
    </w:p>
    <w:p>
      <w:pPr>
        <w:pStyle w:val="Heading2"/>
        <w:widowControl/>
        <w:keepNext/>
      </w:pPr>
      <w:r>
        <w:t>23.3 Teilunwirksamkeit und Recht</w:t>
      </w:r>
    </w:p>
    <w:p>
      <w:pPr>
        <w:pStyle w:val="Normal"/>
        <w:widowControl/>
      </w:pPr>
      <w:r>
        <w:t>Sollte eine Bestimmung unwirksam sein, werden ihre rechtlichen Folgen nach den anwendbaren gesetzlichen Regeln und dem feststellbaren Parteiwillen bestimmt. Die Parteien verpflichten sich, über eine zulässige Regelung zu verhandeln, die dem rechtmäßigen Zweck möglichst nahekommt. Es wird keine automatische Ersetzung jeder unzulässigen Klausel durch das gerade noch zulässige Maximum vereinbart.</w:t>
      </w:r>
    </w:p>
    <w:p>
      <w:pPr>
        <w:pStyle w:val="Normal"/>
        <w:widowControl/>
      </w:pPr>
      <w:r>
        <w:t>Es gilt deutsches Recht unter Beachtung zwingender anwendbarer Vorschriften. Die deutsche Fassung ist maßgeblich, soweit die Parteien nicht ausdrücklich eine andere Sprachregel vereinbaren. Übersetzungen dienen dem Verständnis; vor Unterzeichnung sind rechtlich erhebliche Abweichungen aufzulösen und erforderliche sprachliche Unterstützung bei der Beurkundung zu organisieren.</w:t>
      </w:r>
    </w:p>
    <w:p>
      <w:pPr>
        <w:pStyle w:val="Heading1"/>
        <w:widowControl/>
        <w:keepNext/>
      </w:pPr>
      <w:r>
        <w:t>24 Anlagen und Unterzeichnung</w:t>
      </w:r>
    </w:p>
    <w:p>
      <w:pPr>
        <w:pStyle w:val="Heading2"/>
        <w:widowControl/>
        <w:keepNext/>
      </w:pPr>
      <w:r>
        <w:t>24.1 Anlagenverzeichnis</w:t>
      </w:r>
    </w:p>
    <w:p>
      <w:pPr>
        <w:pStyle w:val="Normal"/>
        <w:widowControl/>
      </w:pPr>
      <w:r>
        <w:t>Anlage 1 enthält die bestätigten Beteiligten und Vertretungsnachweise. Anlage 2 enthält die Anteilnummern und Nennbeträge vor Vollzug, nach erster und nach zweiter Tranche. Anlage 3 enthält den Zahlungsplan und die Vollzugsvoraussetzungen. Anlage 4 enthält die objektiven Meilensteine und den Terminplan. Anlage 5 enthält den Zustimmungskatalog und die Beiratsordnung. Anlage 6 enthält das Rechteverzeichnis. Anlage 7 enthält die gebundenen Gründeranteile und die konkret vereinbarten Ausscheidens- und Preisregeln. Anlage 8 enthält die vollständige Erlösverteilung einschließlich Rangfolge, Wahl und kumulativer Abrechnung. Anlage 9 enthält offengelegte Altvereinbarungen und deren Aufhebung. Anlage 10 enthält die Beitrittserklärung.</w:t>
      </w:r>
    </w:p>
    <w:p>
      <w:pPr>
        <w:pStyle w:val="Normal"/>
        <w:widowControl/>
      </w:pPr>
      <w:r>
        <w:t>Die Anlagen werden inhaltlich ausgefüllt und mit dem Haupttext abgeglichen. Eine Überschrift oder ein Dateiname ersetzt die darin vorausgesetzten Angaben nicht. Soweit die Parteien eine Anlage nicht benötigen, wird sowohl ihr Eintrag als auch jeder inhaltliche Verweis darauf ausdrücklich entfernt oder ersetzt.</w:t>
      </w:r>
    </w:p>
    <w:p>
      <w:pPr>
        <w:pStyle w:val="Heading2"/>
        <w:widowControl/>
        <w:keepNext/>
      </w:pPr>
      <w:r>
        <w:t>24.2 Formulierte Beitrittserklärung zur Ergänzung</w:t>
      </w:r>
    </w:p>
    <w:p>
      <w:pPr>
        <w:pStyle w:val="Normal"/>
        <w:widowControl/>
      </w:pPr>
      <w:r>
        <w:t>„[Erwerber mit vollständiger Identität] tritt mit Wirkung zum [Zeitpunkt] der Gesellschaftervereinbarung der SkyFade Robotics GmbH vom [Datum und Urkundenbezeichnung] in der für die erworbenen Geschäftsanteile Nummern [Nummern] maßgeblichen Fassung bei. Er übernimmt die in der beigefügten Zuordnung bezeichneten Rechte und Pflichten der Klasse [Klasse]. Persönliche Pflichten des Veräußerers werden nur übernommen, soweit sie in dieser Erklärung einzeln bezeichnet und rechtlich übertragbar sind. Die Gesellschaft und die hierfür erforderlichen Parteien nehmen den Beitritt an. Gesetzliche Form und notwendige Zustimmungen bleiben Voraussetzung des Wirksamwerdens.“</w:t>
      </w:r>
    </w:p>
    <w:p>
      <w:pPr>
        <w:pStyle w:val="Heading2"/>
        <w:widowControl/>
        <w:keepNext/>
      </w:pPr>
      <w:r>
        <w:t>24.3 Unterzeichnungsvorbereitung</w:t>
      </w:r>
    </w:p>
    <w:p>
      <w:pPr>
        <w:pStyle w:val="Normal"/>
        <w:widowControl/>
      </w:pPr>
      <w:r>
        <w:t>Für jeden der sieben Beteiligten und für die Gesellschaft wird ein eigener Unterschrifts- und Vertretungsbereich vorgesehen. Der Notar ergänzt den tatsächlichen Urkundseingang, die Identitätsfeststellung, Vertretung, Belehrung und Schlussformel. Die hier aufgeführten Felder sind keine bereits abgegebenen notariellen Feststellungen.</w:t>
      </w:r>
    </w:p>
    <w:p>
      <w:pPr>
        <w:pStyle w:val="Normal"/>
        <w:widowControl/>
      </w:pPr>
      <w:r>
        <w:t>[Ort und Datum der Beurkundung]</w:t>
      </w:r>
    </w:p>
    <w:p>
      <w:pPr>
        <w:pStyle w:val="Normal"/>
        <w:widowControl/>
      </w:pPr>
      <w:r>
        <w:t>[Kunigunde Wolkenberger] [Kilian Funkenschlag] [Ottilie Trutz]</w:t>
      </w:r>
    </w:p>
    <w:p>
      <w:pPr>
        <w:pStyle w:val="Normal"/>
        <w:widowControl/>
      </w:pPr>
      <w:r>
        <w:t>[ABC Ventures GmbH mit Vertreter] [DEF Partners GmbH mit Vertreter]</w:t>
      </w:r>
    </w:p>
    <w:p>
      <w:pPr>
        <w:pStyle w:val="Normal"/>
        <w:widowControl/>
      </w:pPr>
      <w:r>
        <w:t>[GHI Capital GmbH mit Vertreter] [JKL Fonds GmbH mit Vertreter]</w:t>
      </w:r>
    </w:p>
    <w:p>
      <w:pPr>
        <w:pStyle w:val="Normal"/>
        <w:widowControl/>
      </w:pPr>
      <w:r>
        <w:t>[SkyFade Robotics GmbH mit gesondert nachgewiesener Vertretung]</w:t>
      </w:r>
    </w:p>
    <w:sectPr w:rsidR="00FC693F" w:rsidRPr="0006063C" w:rsidSect="00034616">
      <w:footerReference w:type="default" r:id="rId9"/>
      <w:headerReference w:type="default" r:id="rId10"/>
      <w:pgSz w:w="12240" w:h="15840"/>
      <w:pgMar w:top="1502" w:right="1502" w:bottom="1332"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C6C6C6"/>
      </w:pBdr>
    </w:pPr>
    <w:r>
      <w:rPr>
        <w:sz w:val="18"/>
      </w:rPr>
      <w:t>—  Gesellschaftervereinbarung Serie B  —</w:t>
    </w:r>
    <w:r>
      <w:rPr>
        <w:sz w:val="18"/>
      </w:rPr>
      <w:t xml:space="preserve">—  </w:t>
    </w:r>
    <w:fldSimple w:instr="PAGE"/>
    <w:r>
      <w:rPr>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C6C6C6"/>
      </w:pBdr>
    </w:pPr>
    <w:r>
      <w:rPr>
        <w:rFonts w:ascii="Times New Roman" w:hAnsi="Times New Roman"/>
        <w:color w:val="6E6E6E"/>
        <w:sz w:val="16"/>
      </w:rPr>
      <w:t>GESELLSCHAFTERVEREINBARUNG  ·  SERIE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0" w:line="264" w:lineRule="auto"/>
    </w:pPr>
    <w:rPr>
      <w:rFonts w:ascii="Times New Roman" w:hAnsi="Times New Roman" w:cs="Times New Roman" w:eastAsia="Times New Roman"/>
      <w:sz w:val="22"/>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after="150" w:line="264" w:lineRule="auto" w:before="180"/>
      <w:keepNext/>
    </w:pPr>
    <w:rPr>
      <w:rFonts w:ascii="Times New Roman" w:hAnsi="Times New Roman" w:cs="Times New Roman" w:eastAsia="Times New Roman"/>
      <w:sz w:val="26"/>
      <w:color w:val="000000"/>
      <w:b/>
    </w:rPr>
  </w:style>
  <w:style w:type="paragraph" w:styleId="Heading2">
    <w:name w:val="heading 2"/>
    <w:basedOn w:val="Normal"/>
    <w:next w:val="Normal"/>
    <w:link w:val="Heading2Char"/>
    <w:uiPriority w:val="9"/>
    <w:unhideWhenUsed/>
    <w:qFormat/>
    <w:rsid w:val="00FC693F"/>
    <w:pPr>
      <w:spacing w:after="150" w:line="264" w:lineRule="auto" w:before="180"/>
      <w:keepNext/>
    </w:pPr>
    <w:rPr>
      <w:rFonts w:ascii="Times New Roman" w:hAnsi="Times New Roman" w:cs="Times New Roman" w:eastAsia="Times New Roman"/>
      <w:sz w:val="23"/>
      <w:color w:val="000000"/>
      <w: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50" w:line="264" w:lineRule="auto" w:before="180"/>
      <w:keepNext/>
    </w:pPr>
    <w:rPr>
      <w:rFonts w:ascii="Times New Roman" w:hAnsi="Times New Roman" w:cs="Times New Roman" w:eastAsia="Times New Roman"/>
      <w:sz w:val="32"/>
      <w:color w:val="000000"/>
      <w: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rkundentitel">
    <w:name w:val="Urkundentitel"/>
    <w:basedOn w:val="Normal"/>
    <w:pPr>
      <w:keepNext/>
      <w:spacing w:before="280" w:after="280"/>
    </w:pPr>
    <w:rPr>
      <w:rFonts w:ascii="Times New Roman" w:hAnsi="Times New Roman"/>
      <w:b/>
      <w:color w:val="191919"/>
      <w:sz w:val="28"/>
    </w:rPr>
  </w:style>
  <w:style w:type="paragraph" w:customStyle="1" w:styleId="Abschnitt">
    <w:name w:val="Abschnitt"/>
    <w:basedOn w:val="Normal"/>
    <w:pPr>
      <w:keepNext/>
      <w:spacing w:before="340" w:after="180"/>
    </w:pPr>
    <w:rPr>
      <w:rFonts w:ascii="Times New Roman" w:hAnsi="Times New Roman"/>
      <w:b/>
      <w:sz w:val="24"/>
    </w:rPr>
  </w:style>
  <w:style w:type="paragraph" w:customStyle="1" w:styleId="Paragraph">
    <w:name w:val="Paragraph"/>
    <w:basedOn w:val="Normal"/>
    <w:pPr>
      <w:keepNext/>
      <w:spacing w:before="260" w:after="120"/>
    </w:pPr>
    <w:rPr>
      <w:rFonts w:ascii="Times New Roman" w:hAnsi="Times New Roman"/>
      <w:b/>
      <w:sz w:val="23"/>
    </w:rPr>
  </w:style>
  <w:style w:type="paragraph" w:customStyle="1" w:styleId="Zwischentitel">
    <w:name w:val="Zwischentitel"/>
    <w:basedOn w:val="Normal"/>
    <w:pPr>
      <w:keepNext/>
      <w:spacing w:before="180" w:after="80"/>
    </w:pPr>
    <w:rPr>
      <w:rFonts w:ascii="Times New Roman" w:hAnsi="Times New Roman"/>
      <w:b/>
      <w:color w:val="191919"/>
      <w:sz w:val="24"/>
    </w:rPr>
  </w:style>
  <w:style w:type="paragraph" w:customStyle="1" w:styleId="Anteil">
    <w:name w:val="Anteil"/>
    <w:basedOn w:val="Normal"/>
    <w:pPr>
      <w:keepNext/>
      <w:spacing w:before="200" w:after="60"/>
    </w:pPr>
    <w:rPr>
      <w:rFonts w:ascii="Times New Roman" w:hAnsi="Times New Roman"/>
      <w:b/>
      <w:color w:val="191919"/>
      <w:sz w:val="22"/>
    </w:rPr>
  </w:style>
  <w:style w:type="paragraph" w:customStyle="1" w:styleId="Vertragsparagraph">
    <w:name w:val="Vertragsparagraph"/>
    <w:pPr>
      <w:keepNext/>
      <w:spacing w:before="340" w:after="16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
  <cp:lastModifiedBy>Klotzkette</cp:lastModifiedBy>
  <cp:revision>1</cp:revision>
  <dcterms:created xsi:type="dcterms:W3CDTF">2013-12-23T23:15:00Z</dcterms:created>
  <dcterms:modified xsi:type="dcterms:W3CDTF">2013-12-23T23:15:00Z</dcterms:modified>
  <cp:category/>
</cp:coreProperties>
</file>