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Satzung zur Gründung</w:t>
      </w:r>
    </w:p>
    <w:p>
      <w:pPr>
        <w:pStyle w:val="Subtitle"/>
      </w:pPr>
      <w:r>
        <w:t>Topf &amp; Tacheles GmbH · ENTWURF · Stand 30.09.2026</w:t>
      </w:r>
    </w:p>
    <w:p>
      <w:r>
        <w:rPr>
          <w:b w:val="0"/>
        </w:rPr>
        <w:t>Die folgenden Regelungen sind ein noch nicht vereinbarter Entwurf. Namen und Personendaten sind aus den zugeordneten Datenkarten einzutragen. Als OFFEN bezeichnete Felder erfordern eine gemeinsame Entscheidung; diese Fassung ist nicht zur Beurkundung freigegeben.</w:t>
      </w:r>
    </w:p>
    <w:p>
      <w:pPr>
        <w:pStyle w:val="Heading1"/>
      </w:pPr>
      <w:r>
        <w:t>1 Firma Sitz und Unternehmensgegenstand</w:t>
      </w:r>
    </w:p>
    <w:p>
      <w:r>
        <w:rPr>
          <w:b/>
        </w:rPr>
        <w:t xml:space="preserve">1.1  </w:t>
      </w:r>
      <w:r>
        <w:t>Die Firma der Gesellschaft lautet Topf &amp; Tacheles GmbH. Die Gesellschaft hat ihren Sitz in Berlin.</w:t>
      </w:r>
    </w:p>
    <w:p>
      <w:r>
        <w:rPr>
          <w:b/>
        </w:rPr>
        <w:t xml:space="preserve">1.2  </w:t>
      </w:r>
      <w:r>
        <w:t>Gegenstand des Unternehmens ist die Vermietung von Zimmerpflanzen einschließlich Lieferung sowie Gieß- und Pflegeservice für Büros und Wohngemeinschaften und der ergänzende Verkauf von Pflanzen und Pflanzgefäßen.</w:t>
      </w:r>
    </w:p>
    <w:p>
      <w:r>
        <w:rPr>
          <w:b/>
        </w:rPr>
        <w:t xml:space="preserve">1.3  </w:t>
      </w:r>
      <w:r>
        <w:t>Die Gesellschaft wird auf unbestimmte Zeit errichtet. Das Geschäftsjahr ist das Kalenderjahr; das erste Geschäftsjahr endet am 31. Dezember des Jahres der Eintragung in das Handelsregister.</w:t>
      </w:r>
    </w:p>
    <w:p>
      <w:pPr>
        <w:pStyle w:val="Heading1"/>
      </w:pPr>
      <w:r>
        <w:t>2 Stammkapital und Geschäftsanteile</w:t>
      </w:r>
    </w:p>
    <w:p>
      <w:r>
        <w:rPr>
          <w:b/>
        </w:rPr>
        <w:t xml:space="preserve">2.1  </w:t>
      </w:r>
      <w:r>
        <w:t>Das Stammkapital beträgt 25.000,00 EUR. Die folgenden sieben Personen übernehmen jeweils einen Geschäftsanteil mit dem zugeordneten Nennbetrag. Die Kürzel P01 bis P07 dienen nur der Zuordnung zu den Datenkarten.</w:t>
      </w:r>
    </w:p>
    <w:tbl>
      <w:tblPr>
        <w:tblW w:type="auto" w:w="0"/>
        <w:tblLayout w:type="fixed"/>
        <w:tblLook w:firstColumn="1" w:firstRow="1" w:lastColumn="0" w:lastRow="0" w:noHBand="0" w:noVBand="1" w:val="04A0"/>
      </w:tblPr>
      <w:tblGrid>
        <w:gridCol w:w="1020"/>
        <w:gridCol w:w="5102"/>
        <w:gridCol w:w="2013"/>
      </w:tblGrid>
      <w:tr>
        <w:trPr>
          <w:tblHeader/>
          <w:cantSplit/>
        </w:trPr>
        <w:tc>
          <w:tcPr>
            <w:tcW w:type="dxa" w:w="102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shd w:fill="EAEAEA"/>
          </w:tcPr>
          <w:p>
            <w:pPr>
              <w:spacing w:after="0" w:line="252" w:lineRule="auto"/>
            </w:pPr>
            <w:r>
              <w:rPr>
                <w:rFonts w:ascii="Times New Roman" w:hAnsi="Times New Roman"/>
                <w:b/>
                <w:sz w:val="22"/>
              </w:rPr>
              <w:t>Anteil Nr</w:t>
            </w:r>
          </w:p>
        </w:tc>
        <w:tc>
          <w:tcPr>
            <w:tcW w:type="dxa" w:w="51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shd w:fill="EAEAEA"/>
          </w:tcPr>
          <w:p>
            <w:pPr>
              <w:spacing w:after="0" w:line="252" w:lineRule="auto"/>
            </w:pPr>
            <w:r>
              <w:rPr>
                <w:rFonts w:ascii="Times New Roman" w:hAnsi="Times New Roman"/>
                <w:b/>
                <w:sz w:val="22"/>
              </w:rPr>
              <w:t>Übernehmende Person</w:t>
            </w:r>
          </w:p>
        </w:tc>
        <w:tc>
          <w:tcPr>
            <w:tcW w:type="dxa" w:w="2013"/>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shd w:fill="EAEAEA"/>
          </w:tcPr>
          <w:p>
            <w:pPr>
              <w:spacing w:after="0" w:line="252" w:lineRule="auto"/>
              <w:jc w:val="right"/>
            </w:pPr>
            <w:r>
              <w:rPr>
                <w:rFonts w:ascii="Times New Roman" w:hAnsi="Times New Roman"/>
                <w:b/>
                <w:sz w:val="22"/>
              </w:rPr>
              <w:t>Nennbetrag</w:t>
            </w:r>
          </w:p>
        </w:tc>
      </w:tr>
      <w:tr>
        <w:trPr>
          <w:cantSplit/>
        </w:trPr>
        <w:tc>
          <w:tcPr>
            <w:tcW w:type="dxa" w:w="102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1</w:t>
            </w:r>
          </w:p>
        </w:tc>
        <w:tc>
          <w:tcPr>
            <w:tcW w:type="dxa" w:w="51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P01: [vollständiger Name aus Karte P01]</w:t>
            </w:r>
          </w:p>
        </w:tc>
        <w:tc>
          <w:tcPr>
            <w:tcW w:type="dxa" w:w="2013"/>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jc w:val="right"/>
            </w:pPr>
            <w:r>
              <w:rPr>
                <w:rFonts w:ascii="Times New Roman" w:hAnsi="Times New Roman"/>
                <w:b w:val="0"/>
                <w:sz w:val="22"/>
              </w:rPr>
              <w:t>7.500,00 EUR</w:t>
            </w:r>
          </w:p>
        </w:tc>
      </w:tr>
      <w:tr>
        <w:trPr>
          <w:cantSplit/>
        </w:trPr>
        <w:tc>
          <w:tcPr>
            <w:tcW w:type="dxa" w:w="102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2</w:t>
            </w:r>
          </w:p>
        </w:tc>
        <w:tc>
          <w:tcPr>
            <w:tcW w:type="dxa" w:w="51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P02: [vollständiger Name aus Karte P02]</w:t>
            </w:r>
          </w:p>
        </w:tc>
        <w:tc>
          <w:tcPr>
            <w:tcW w:type="dxa" w:w="2013"/>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jc w:val="right"/>
            </w:pPr>
            <w:r>
              <w:rPr>
                <w:rFonts w:ascii="Times New Roman" w:hAnsi="Times New Roman"/>
                <w:b w:val="0"/>
                <w:sz w:val="22"/>
              </w:rPr>
              <w:t>6.250,00 EUR</w:t>
            </w:r>
          </w:p>
        </w:tc>
      </w:tr>
      <w:tr>
        <w:trPr>
          <w:cantSplit/>
        </w:trPr>
        <w:tc>
          <w:tcPr>
            <w:tcW w:type="dxa" w:w="102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3</w:t>
            </w:r>
          </w:p>
        </w:tc>
        <w:tc>
          <w:tcPr>
            <w:tcW w:type="dxa" w:w="51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P03: [vollständiger Name aus Karte P03]</w:t>
            </w:r>
          </w:p>
        </w:tc>
        <w:tc>
          <w:tcPr>
            <w:tcW w:type="dxa" w:w="2013"/>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jc w:val="right"/>
            </w:pPr>
            <w:r>
              <w:rPr>
                <w:rFonts w:ascii="Times New Roman" w:hAnsi="Times New Roman"/>
                <w:b w:val="0"/>
                <w:sz w:val="22"/>
              </w:rPr>
              <w:t>3.750,00 EUR</w:t>
            </w:r>
          </w:p>
        </w:tc>
      </w:tr>
      <w:tr>
        <w:trPr>
          <w:cantSplit/>
        </w:trPr>
        <w:tc>
          <w:tcPr>
            <w:tcW w:type="dxa" w:w="102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4</w:t>
            </w:r>
          </w:p>
        </w:tc>
        <w:tc>
          <w:tcPr>
            <w:tcW w:type="dxa" w:w="51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P04: [vollständiger Name aus Karte P04]</w:t>
            </w:r>
          </w:p>
        </w:tc>
        <w:tc>
          <w:tcPr>
            <w:tcW w:type="dxa" w:w="2013"/>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jc w:val="right"/>
            </w:pPr>
            <w:r>
              <w:rPr>
                <w:rFonts w:ascii="Times New Roman" w:hAnsi="Times New Roman"/>
                <w:b w:val="0"/>
                <w:sz w:val="22"/>
              </w:rPr>
              <w:t>2.500,00 EUR</w:t>
            </w:r>
          </w:p>
        </w:tc>
      </w:tr>
      <w:tr>
        <w:trPr>
          <w:cantSplit/>
        </w:trPr>
        <w:tc>
          <w:tcPr>
            <w:tcW w:type="dxa" w:w="102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5</w:t>
            </w:r>
          </w:p>
        </w:tc>
        <w:tc>
          <w:tcPr>
            <w:tcW w:type="dxa" w:w="51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P05: [vollständiger Name aus Karte P05]</w:t>
            </w:r>
          </w:p>
        </w:tc>
        <w:tc>
          <w:tcPr>
            <w:tcW w:type="dxa" w:w="2013"/>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jc w:val="right"/>
            </w:pPr>
            <w:r>
              <w:rPr>
                <w:rFonts w:ascii="Times New Roman" w:hAnsi="Times New Roman"/>
                <w:b w:val="0"/>
                <w:sz w:val="22"/>
              </w:rPr>
              <w:t>2.500,00 EUR</w:t>
            </w:r>
          </w:p>
        </w:tc>
      </w:tr>
      <w:tr>
        <w:trPr>
          <w:cantSplit/>
        </w:trPr>
        <w:tc>
          <w:tcPr>
            <w:tcW w:type="dxa" w:w="102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6</w:t>
            </w:r>
          </w:p>
        </w:tc>
        <w:tc>
          <w:tcPr>
            <w:tcW w:type="dxa" w:w="51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P06: [vollständiger Name aus Karte P06]</w:t>
            </w:r>
          </w:p>
        </w:tc>
        <w:tc>
          <w:tcPr>
            <w:tcW w:type="dxa" w:w="2013"/>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jc w:val="right"/>
            </w:pPr>
            <w:r>
              <w:rPr>
                <w:rFonts w:ascii="Times New Roman" w:hAnsi="Times New Roman"/>
                <w:b w:val="0"/>
                <w:sz w:val="22"/>
              </w:rPr>
              <w:t>1.250,00 EUR</w:t>
            </w:r>
          </w:p>
        </w:tc>
      </w:tr>
      <w:tr>
        <w:trPr>
          <w:cantSplit/>
        </w:trPr>
        <w:tc>
          <w:tcPr>
            <w:tcW w:type="dxa" w:w="1020"/>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7</w:t>
            </w:r>
          </w:p>
        </w:tc>
        <w:tc>
          <w:tcPr>
            <w:tcW w:type="dxa" w:w="5102"/>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pPr>
            <w:r>
              <w:rPr>
                <w:rFonts w:ascii="Times New Roman" w:hAnsi="Times New Roman"/>
                <w:b w:val="0"/>
                <w:sz w:val="22"/>
              </w:rPr>
              <w:t>P07: [vollständiger Name aus Karte P07]</w:t>
            </w:r>
          </w:p>
        </w:tc>
        <w:tc>
          <w:tcPr>
            <w:tcW w:type="dxa" w:w="2013"/>
            <w:vAlign w:val="center"/>
            <w:tcMar>
              <w:top w:w="70" w:type="dxa"/>
              <w:bottom w:w="70" w:type="dxa"/>
              <w:left w:w="80" w:type="dxa"/>
              <w:right w:w="80" w:type="dxa"/>
            </w:tcMar>
            <w:tcBorders>
              <w:top w:val="single" w:sz="4" w:color="D9D9D9"/>
              <w:bottom w:val="single" w:sz="4" w:color="D9D9D9"/>
              <w:left w:val="single" w:sz="4" w:color="D9D9D9"/>
              <w:right w:val="single" w:sz="4" w:color="D9D9D9"/>
            </w:tcBorders>
          </w:tcPr>
          <w:p>
            <w:pPr>
              <w:spacing w:after="0" w:line="252" w:lineRule="auto"/>
              <w:jc w:val="right"/>
            </w:pPr>
            <w:r>
              <w:rPr>
                <w:rFonts w:ascii="Times New Roman" w:hAnsi="Times New Roman"/>
                <w:b w:val="0"/>
                <w:sz w:val="22"/>
              </w:rPr>
              <w:t>1.250,00 EUR</w:t>
            </w:r>
          </w:p>
        </w:tc>
      </w:tr>
    </w:tbl>
    <w:p>
      <w:pPr>
        <w:spacing w:before="120"/>
      </w:pPr>
      <w:r>
        <w:rPr>
          <w:b w:val="0"/>
        </w:rPr>
        <w:t>Die weiteren Angaben zu den übernehmenden Personen lauten für jede Karte: [P01 bis P07 jeweils: Geburtsdatum und Wohnort aus der entsprechenden Datenkarte]. Diese Angaben sind vor der Beurkundung personengenau zu ergänzen.</w:t>
      </w:r>
    </w:p>
    <w:p>
      <w:r>
        <w:rPr>
          <w:b/>
        </w:rPr>
        <w:t xml:space="preserve">2.2  </w:t>
      </w:r>
      <w:r>
        <w:t>Die Einlagen sind in Geld zu leisten. Auf jeden Geschäftsanteil ist vor der Anmeldung zur Eintragung mindestens ein Viertel des Nennbetrags einzuzahlen; insgesamt müssen mindestens 12.500,00 EUR eingezahlt sein. Der weitere Einzahlungsplan lautet: [OFFEN: Höhe und Fälligkeit der ersten Zahlung je Person sowie Fälligkeit der Restbeträge]. Die genannten gesetzlichen Mindestzahlungen bleiben verbindlich.</w:t>
      </w:r>
    </w:p>
    <w:p>
      <w:r>
        <w:br w:type="page"/>
      </w:r>
    </w:p>
    <w:p>
      <w:pPr>
        <w:pStyle w:val="Heading1"/>
      </w:pPr>
      <w:r>
        <w:t>3 Geschäftsführung und Vertretung</w:t>
      </w:r>
    </w:p>
    <w:p>
      <w:r>
        <w:rPr>
          <w:b/>
        </w:rPr>
        <w:t xml:space="preserve">3.1  </w:t>
      </w:r>
      <w:r>
        <w:t>Die Gesellschaft hat eine oder mehrere geschäftsführende Personen. Ihre Bestellung und Abberufung erfolgen durch Beschluss der Gesellschafterversammlung. Als erste Geschäftsführerin ist die Person P01 vorgesehen; ihre Bestellung ist einem gesonderten Beschluss vorbehalten.</w:t>
      </w:r>
    </w:p>
    <w:p>
      <w:r>
        <w:rPr>
          <w:b/>
        </w:rPr>
        <w:t xml:space="preserve">3.2  </w:t>
      </w:r>
      <w:r>
        <w:t>Ist nur eine geschäftsführende Person bestellt, vertritt sie die Gesellschaft allein. Sind mehrere bestellt, vertreten sie die Gesellschaft gemeinschaftlich. Die Gesellschafterversammlung kann einzelnen geschäftsführenden Personen Einzelvertretungsbefugnis erteilen. Diese vorgeschlagene Vertretungsregelung soll [OFFEN: beibehalten oder durch die gemeinsam festgelegte Vertretungsregel ersetzt werden].</w:t>
      </w:r>
    </w:p>
    <w:p>
      <w:r>
        <w:rPr>
          <w:b/>
        </w:rPr>
        <w:t xml:space="preserve">3.3  </w:t>
      </w:r>
      <w:r>
        <w:t>Die Geschäftsführung führt die gewöhnlichen Geschäfte der Gesellschaft eigenverantwortlich im Rahmen des Gesetzes, dieser Satzung und der Gesellschafterbeschlüsse. Sie hat vor einer Anschaffung mit einer Gesamtverpflichtung von mehr als [OFFEN: Betrag in EUR] sowie vor Aufnahme eines Kredits von mehr als [OFFEN: Betrag in EUR] die Zustimmung der Gesellschafterversammlung nach Ziffer 5.2 einzuholen.</w:t>
      </w:r>
    </w:p>
    <w:p>
      <w:r>
        <w:rPr>
          <w:b/>
        </w:rPr>
        <w:t xml:space="preserve">3.4  </w:t>
      </w:r>
      <w:r>
        <w:t>Die Zustimmungspflichten beschränken die Geschäftsführung im Innenverhältnis. Sie beschränken die gesetzliche Vertretungsmacht gegenüber Dritten nicht.</w:t>
      </w:r>
    </w:p>
    <w:p>
      <w:pPr>
        <w:pStyle w:val="Heading1"/>
      </w:pPr>
      <w:r>
        <w:t>4 Gesellschafterversammlung und Information</w:t>
      </w:r>
    </w:p>
    <w:p>
      <w:r>
        <w:rPr>
          <w:b/>
        </w:rPr>
        <w:t xml:space="preserve">4.1  </w:t>
      </w:r>
      <w:r>
        <w:t>Die Geschäftsführung beruft die Gesellschafterversammlung durch eingeschriebenen Brief mit einer Frist von mindestens einer Woche ein. Die Einladung nennt den Ort, die Zeit und die Tagesordnung. Die Versammlung findet am Sitz der Gesellschaft statt, sofern nicht alle Gesellschafterinnen und Gesellschafter einem anderen Ort zustimmen.</w:t>
      </w:r>
    </w:p>
    <w:p>
      <w:r>
        <w:rPr>
          <w:b/>
        </w:rPr>
        <w:t xml:space="preserve">4.2  </w:t>
      </w:r>
      <w:r>
        <w:t>Eine Versammlung per Telefon oder Video sowie eine Beschlussfassung ohne Versammlung sind unter den jeweiligen gesetzlichen Voraussetzungen zulässig. Jeder Person muss eine Teilnahme beziehungsweise Stimmabgabe im gesetzlich vorgesehenen Verfahren ermöglicht werden.</w:t>
      </w:r>
    </w:p>
    <w:p>
      <w:r>
        <w:rPr>
          <w:b/>
        </w:rPr>
        <w:t xml:space="preserve">4.3  </w:t>
      </w:r>
      <w:r>
        <w:t>Über die Beschlüsse wird eine Niederschrift mit Gegenstand und Abstimmungsergebnis angefertigt und allen Gesellschafterinnen und Gesellschaftern übermittelt. Die gesetzlich erforderliche notarielle Beurkundung einzelner Beschlüsse wird dadurch nicht ersetzt.</w:t>
      </w:r>
    </w:p>
    <w:p>
      <w:r>
        <w:rPr>
          <w:b/>
        </w:rPr>
        <w:t xml:space="preserve">4.4  </w:t>
      </w:r>
      <w:r>
        <w:t>Jede Gesellschafterin und jeder Gesellschafter hat die gesetzlichen Auskunfts- und Einsichtsrechte. Die Geschäftsführung stellt die zur Vorbereitung eines angekündigten Beschlusses erforderlichen Unterlagen rechtzeitig zur Verfügung.</w:t>
      </w:r>
    </w:p>
    <w:p>
      <w:r>
        <w:br w:type="page"/>
      </w:r>
    </w:p>
    <w:p>
      <w:pPr>
        <w:pStyle w:val="Heading1"/>
      </w:pPr>
      <w:r>
        <w:t>5 Stimmrechte und Mehrheiten</w:t>
      </w:r>
    </w:p>
    <w:p>
      <w:r>
        <w:rPr>
          <w:b/>
        </w:rPr>
        <w:t xml:space="preserve">5.1  </w:t>
      </w:r>
      <w:r>
        <w:t>Jeder Euro des Nennbetrags eines Geschäftsanteils gewährt eine Stimme. Gewöhnliche Beschlüsse werden mit einfacher Mehrheit der abgegebenen gültigen Stimmen gefasst, soweit das Gesetz oder diese Satzung keine strengere Anforderung vorsieht. Ein Antrag ist angenommen, wenn die Ja-Stimmen die Nein-Stimmen überwiegen. Enthaltungen und ungültige Stimmen werden nicht mitgezählt; bei Stimmengleichheit ist der Antrag abgelehnt. Gesetzliche Stimmverbote bleiben unberührt.</w:t>
      </w:r>
    </w:p>
    <w:p>
      <w:r>
        <w:rPr>
          <w:b/>
        </w:rPr>
        <w:t xml:space="preserve">5.2  </w:t>
      </w:r>
      <w:r>
        <w:t>Die Zustimmung zu den in Ziffer 3.3 genannten größeren Anschaffungen und Krediten erfordert [OFFEN: mindestens oder mehr als welcher Prozentsatz] der [OFFEN: Bezugsbasis der Stimmen ausdrücklich festlegen]. Bei dieser Bezugsbasis werden Enthaltungen und Abwesenheiten wie folgt behandelt: [OFFEN: Behandlung festlegen]. Diese Felder müssen vor der abschließenden Fassung gemeinsam ausgefüllt werden.</w:t>
      </w:r>
    </w:p>
    <w:p>
      <w:r>
        <w:rPr>
          <w:b/>
        </w:rPr>
        <w:t xml:space="preserve">5.3  </w:t>
      </w:r>
      <w:r>
        <w:t>Eine Änderung der Satzung bedarf mindestens einer Mehrheit von drei Vierteln der abgegebenen Stimmen. Der Beschluss muss notariell beurkundet werden. Eine Vermehrung der den Gesellschafterinnen und Gesellschaftern nach der Satzung obliegenden Leistungen bedarf außerdem der Zustimmung sämtlicher betroffener Personen. Zusätzliche Anforderungen sollen lauten: [OFFEN: keine zusätzlichen Anforderungen oder genaue zusätzliche Mehrheit, Bezugsbasis und gegebenenfalls Zustimmungserfordernisse]. Gesetzliche Mindestmehrheiten, Formvorschriften und Zustimmungserfordernisse bleiben in jedem Fall unberührt.</w:t>
      </w:r>
    </w:p>
    <w:p>
      <w:r>
        <w:rPr>
          <w:b/>
        </w:rPr>
        <w:t xml:space="preserve">5.4  </w:t>
      </w:r>
      <w:r>
        <w:t>Für sonstige gesetzlich besonders geregelte Beschlüsse gelten die gesetzlichen Anforderungen. Ein besonderes Vetorecht einer einzelnen Person wird mit diesem Entwurf nicht festgelegt. Ob ein solches Recht gewünscht ist, bleibt zur gemeinsamen Entscheidung offen.</w:t>
      </w:r>
    </w:p>
    <w:p>
      <w:pPr>
        <w:pStyle w:val="Heading1"/>
      </w:pPr>
      <w:r>
        <w:t>6 Jahresabschluss und Ergebnis</w:t>
      </w:r>
    </w:p>
    <w:p>
      <w:r>
        <w:rPr>
          <w:b/>
        </w:rPr>
        <w:t xml:space="preserve">6.1  </w:t>
      </w:r>
      <w:r>
        <w:t>Die Geschäftsführung stellt den Jahresabschluss innerhalb der gesetzlichen Fristen auf und legt ihn der Gesellschafterversammlung zur Feststellung vor. Die Gesellschafterversammlung beschließt über die Verwendung des Ergebnisses.</w:t>
      </w:r>
    </w:p>
    <w:p>
      <w:r>
        <w:rPr>
          <w:b/>
        </w:rPr>
        <w:t xml:space="preserve">6.2  </w:t>
      </w:r>
      <w:r>
        <w:t>Soweit ein ausschüttungsfähiger Gewinn zur Verteilung beschlossen wird, erfolgt die Verteilung im Verhältnis der Nennbeträge der Geschäftsanteile. Die gesetzlichen Vorschriften zur Erhaltung des Stammkapitals sind einzuhalten.</w:t>
      </w:r>
    </w:p>
    <w:p>
      <w:pPr>
        <w:pStyle w:val="Heading1"/>
      </w:pPr>
      <w:r>
        <w:t>7 Gründungsaufwand und Ergänzung</w:t>
      </w:r>
    </w:p>
    <w:p>
      <w:r>
        <w:rPr>
          <w:b/>
        </w:rPr>
        <w:t xml:space="preserve">7.1  </w:t>
      </w:r>
      <w:r>
        <w:t>Die Gesellschaft trägt den Aufwand für die notarielle Gründung, die Handelsregistereintragung und die Gründungsberatung bis zu einem Gesamtbetrag von [OFFEN: Höchstbetrag in EUR]. Darüber hinausgehende Gründungskosten tragen die Gründenden im Verhältnis ihrer Nennbeträge. Der Höchstbetrag ist vor der Beurkundung festzulegen.</w:t>
      </w:r>
    </w:p>
    <w:p>
      <w:r>
        <w:rPr>
          <w:b/>
        </w:rPr>
        <w:t xml:space="preserve">7.2  </w:t>
      </w:r>
      <w:r>
        <w:t>Im Übrigen gelten die gesetzlichen Vorschriften. Diese Entwurfsfassung enthält keine Unterschriften und dokumentiert noch keinen Abschluss des Gesellschaftsvertrags.</w:t>
      </w:r>
    </w:p>
    <w:sectPr w:rsidR="00FC693F" w:rsidRPr="0006063C" w:rsidSect="00034616">
      <w:headerReference w:type="default" r:id="rId9"/>
      <w:footerReference w:type="default" r:id="rId10"/>
      <w:pgSz w:w="11906" w:h="16838"/>
      <w:pgMar w:top="1134" w:right="1247" w:bottom="1020" w:left="1332"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ENTWURF · Stand 30.09.2026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Topf &amp; Tacheles GmbH · Gründungsvorbereitung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22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imes New Roman" w:hAnsi="Times New Roman" w:eastAsia="Times New Roman" w:cs="Times New Roman"/>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Satzung zur Gründung</dc:title>
  <dc:subject>ENTWURF · Stand 30.09.2026</dc:subject>
  <dc:creator>Gründungskreis Topf &amp; Tacheles</dc:creator>
  <cp:keywords/>
  <dc:description>generated by python-docx</dc:description>
  <cp:lastModifiedBy/>
  <cp:revision>1</cp:revision>
  <dcterms:created xsi:type="dcterms:W3CDTF">2026-09-30T07:00:00Z</dcterms:created>
  <dcterms:modified xsi:type="dcterms:W3CDTF">2026-09-30T07:00:00Z</dcterms:modified>
  <cp:category/>
</cp:coreProperties>
</file>