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Interner Vermerk</w:t>
      </w:r>
    </w:p>
    <w:p>
      <w:pPr>
        <w:jc w:val="left"/>
      </w:pPr>
      <w:r>
        <w:rPr>
          <w:b/>
        </w:rPr>
        <w:t>Dr. Wittkopp Insolvenzverwaltung</w:t>
      </w:r>
      <w:r>
        <w:t xml:space="preserve"> · Rechtsanwältin Dr. Henrike Wittkopp · Georgstraße 24 · 30159 Hannover</w:t>
      </w:r>
    </w:p>
    <w:p>
      <w:pPr>
        <w:jc w:val="left"/>
      </w:pPr>
      <w:r>
        <w:t>Aktenzeichen: 114/26 HW · Verfahren: Nordlicht Systemgastronomie GmbH, AG Hannover 902 IN 388/26</w:t>
      </w:r>
    </w:p>
    <w:p>
      <w:pPr>
        <w:jc w:val="left"/>
      </w:pPr>
      <w:r>
        <w:t>Hannover, 2. Juni 2026</w:t>
      </w:r>
    </w:p>
    <w:p>
      <w:pPr>
        <w:jc w:val="left"/>
      </w:pPr>
      <w:r>
        <w:t>Verfasserin: Dr. Wittkopp · Verteiler: Handakte Geschäftsführerhaftung</w:t>
      </w:r>
    </w:p>
    <w:p>
      <w:pPr>
        <w:pStyle w:val="Heading2"/>
      </w:pPr>
      <w:r>
        <w:rPr>
          <w:rFonts w:ascii="Times New Roman" w:hAnsi="Times New Roman"/>
        </w:rPr>
        <w:t>1 Gegenstand</w:t>
      </w:r>
    </w:p>
    <w:p>
      <w:pPr>
        <w:jc w:val="left"/>
      </w:pPr>
      <w:r>
        <w:t>Der Vermerk bereitet die Inanspruchnahme des Geschäftsführers Sven Ohlendorf nach § 15b Abs. 4 InsO wegen Zahlungen nach Eintritt der Insolvenzreife vor.</w:t>
      </w:r>
    </w:p>
    <w:p>
      <w:pPr>
        <w:pStyle w:val="Heading2"/>
      </w:pPr>
      <w:r>
        <w:rPr>
          <w:rFonts w:ascii="Times New Roman" w:hAnsi="Times New Roman"/>
        </w:rPr>
        <w:t>2 Sachverhalt in Kurzform</w:t>
      </w:r>
    </w:p>
    <w:p>
      <w:pPr>
        <w:jc w:val="left"/>
      </w:pPr>
      <w:r>
        <w:t>2.1 Die Schuldnerin betrieb elf Filialrestaurants in Hannover, Braunschweig und Celle mit zuletzt 96 Beschäftigten. Nach dem Liquiditätsstatus (Aktenstück 05) bestand seit dem 1. September 2025 eine Unterdeckung der fälligen Verbindlichkeiten von durchgehend mehr als zehn Prozent; die Lücke wurde in der Folge nie geschlossen. Die Zahlungsunfähigkeit ist damit spätestens am 22. September 2025 eingetreten (drei Wochen ohne Aussicht auf Schließung der Lücke).</w:t>
      </w:r>
    </w:p>
    <w:p>
      <w:pPr>
        <w:jc w:val="left"/>
      </w:pPr>
      <w:r>
        <w:t>2.2 Der Eigenantrag ist erst am 20. Januar 2026 gestellt worden. Der Geschäftsführer hat den Geschäftsbetrieb in der Zwischenzeit unverändert fortgeführt. Nach der Auswertung der Kontoumsätze (Aktenstück 07) sind zwischen dem 22. September 2025 und dem 20. Januar 2026 Zahlungen von insgesamt 1.238.400,00 EUR aus dem Gesellschaftsvermögen geleistet worden.</w:t>
      </w:r>
    </w:p>
    <w:p>
      <w:pPr>
        <w:jc w:val="left"/>
      </w:pPr>
      <w:r>
        <w:t>2.3 Der Eigenantrag datiert den Eintritt der Zahlungsunfähigkeit auf den 5. Januar 2026 ("Wegfall der Weihnachtsgeschäft-Erwartung"). Diese Datierung ist mit dem Liquiditätsstatus und der BWA-Reihe (Aktenstück 06) unvereinbar.</w:t>
      </w:r>
    </w:p>
    <w:p>
      <w:pPr>
        <w:pStyle w:val="Heading2"/>
      </w:pPr>
      <w:r>
        <w:rPr>
          <w:rFonts w:ascii="Times New Roman" w:hAnsi="Times New Roman"/>
        </w:rPr>
        <w:t>3 Prüfprogramm</w:t>
      </w:r>
    </w:p>
    <w:p>
      <w:pPr>
        <w:jc w:val="left"/>
      </w:pPr>
      <w:r>
        <w:t>3.1 Massebegriff und Zahlungsbegriff des § 15b Abs. 1 Satz 1 InsO: erfasst sind auch Einzüge auf ein debitorisches Konto; hier zusätzlich zu prüfen für die Umleitung von Kartenumsätzen auf das Konto bei der Calenberger Volksbank ab November 2025.</w:t>
      </w:r>
    </w:p>
    <w:p>
      <w:pPr>
        <w:jc w:val="left"/>
      </w:pPr>
      <w:r>
        <w:t>3.2 Privilegierung nach § 15b Abs. 1 Satz 2, Abs. 2 und Abs. 3 InsO: Zahlungen im ordnungsgemäßen Geschäftsgang sind nur privilegiert, solange die Antragsfrist des § 15a Abs. 1 InsO läuft und der Geschäftsführer Sanierungs- oder Antragsvorbereitungsmaßnahmen betreibt; nach Ablauf der Frist gilt der strenge Maßstab des Abs. 3. Die Frist lief hier spätestens am 13. Oktober 2025 ab. Für die Zeit danach kommen nur noch Zahlungen zur Abwendung größerer Schäden in Betracht (Strom, Wareneinkauf Zug um Zug für den Wochenendbetrieb?).</w:t>
      </w:r>
    </w:p>
    <w:p>
      <w:pPr>
        <w:jc w:val="left"/>
      </w:pPr>
      <w:r>
        <w:t>3.3 Zahlungen an den Gesellschafter: Das "Beraterhonorar" von monatlich 12.000,00 EUR an die Ohlendorf Beteiligungs-UG (fünf Zahlungen, 60.000,00 EUR) ist zusätzlich an § 15b Abs. 5 InsO zu messen.</w:t>
      </w:r>
    </w:p>
    <w:p>
      <w:pPr>
        <w:jc w:val="left"/>
      </w:pPr>
      <w:r>
        <w:t>3.4 Steuerzahlungen: Die Umsatzsteuerzahlungen von 95.200,00 EUR an das Finanzamt Hannover-Mitte nach Insolvenzreife; Verhältnis von § 15b Abs. 8 InsO zu § 69 AO. Abs. 8 privilegiert nur, wenn die Antragspflicht noch nicht verletzt oder der Antrag rechtzeitig gestellt ist — hier zweifelhaft, da die Antragsfrist am 13. Oktober 2025 ablief.</w:t>
      </w:r>
    </w:p>
    <w:p>
      <w:pPr>
        <w:jc w:val="left"/>
      </w:pPr>
      <w:r>
        <w:t>3.5 Darlegungs- und Beweislast, Gegenrechte: Nachweis geringerer Masseschmälerung (§ 15b Abs. 4 Satz 2 InsO) obliegt dem Geschäftsführer; D&amp;O-Deckung (Aktenstück 14) und Verjährung sind zu beachten.</w:t>
      </w:r>
    </w:p>
    <w:p>
      <w:pPr>
        <w:pStyle w:val="Heading2"/>
      </w:pPr>
      <w:r>
        <w:rPr>
          <w:rFonts w:ascii="Times New Roman" w:hAnsi="Times New Roman"/>
        </w:rPr>
        <w:t>4 Nächste Schritte</w:t>
      </w:r>
    </w:p>
    <w:p>
      <w:pPr>
        <w:jc w:val="left"/>
      </w:pPr>
      <w:r>
        <w:t>Anspruchsschreiben mit kategorisierter Zahlungsaufstellung, Fristsetzung drei Wochen, parallel Deckungsanfrage an den D&amp;O-Versicherer über den Versicherungsmakler.</w:t>
      </w:r>
    </w:p>
    <w:p>
      <w:pPr>
        <w:jc w:val="left"/>
      </w:pPr>
      <w:r>
        <w:t>Dr. Henrike Wittkopp</w:t>
      </w:r>
    </w:p>
    <w:p>
      <w:pPr>
        <w:jc w:val="left"/>
      </w:pPr>
      <w:r>
        <w:t>Rechtsanwältin, Insolvenzverwalterin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