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Beschluss</w:t>
      </w:r>
    </w:p>
    <w:p>
      <w:pPr>
        <w:jc w:val="left"/>
      </w:pPr>
      <w:r>
        <w:rPr>
          <w:b/>
        </w:rPr>
        <w:t>Amtsgericht Hannover — Insolvenzgericht — Hamburger Allee 26, 30161 Hannover</w:t>
      </w:r>
    </w:p>
    <w:p>
      <w:pPr>
        <w:jc w:val="left"/>
      </w:pPr>
      <w:r>
        <w:t>Geschäftszeichen: 902 IN 388/26</w:t>
      </w:r>
    </w:p>
    <w:p>
      <w:pPr>
        <w:jc w:val="left"/>
      </w:pPr>
      <w:r>
        <w:t>Hannover, den 1. April 2026</w:t>
      </w:r>
    </w:p>
    <w:p>
      <w:pPr>
        <w:jc w:val="left"/>
      </w:pPr>
      <w:r>
        <w:t>In dem Insolvenzeröffnungsverfahren über das Vermögen der</w:t>
      </w:r>
    </w:p>
    <w:p>
      <w:pPr>
        <w:jc w:val="left"/>
      </w:pPr>
      <w:r>
        <w:rPr>
          <w:b/>
        </w:rPr>
        <w:t>Nordlicht Systemgastronomie GmbH</w:t>
      </w:r>
      <w:r>
        <w:t>, Lister Meile 87, 30161 Hannover, eingetragen im Handelsregister des Amtsgerichts Hannover, HRB 219448, vertreten durch den Geschäftsführer Sven Ohlendorf,</w:t>
      </w:r>
    </w:p>
    <w:p>
      <w:pPr>
        <w:jc w:val="left"/>
      </w:pPr>
      <w:r>
        <w:t xml:space="preserve">wird am 1. April 2026, 08:00 Uhr, das </w:t>
      </w:r>
      <w:r>
        <w:rPr>
          <w:b/>
        </w:rPr>
        <w:t>Insolvenzverfahren eröffnet</w:t>
      </w:r>
      <w:r>
        <w:t>, weil die Schuldnerin zahlungsunfähig ist (§ 17 InsO).</w:t>
      </w:r>
    </w:p>
    <w:p>
      <w:pPr>
        <w:pStyle w:val="ListNumber"/>
      </w:pPr>
      <w:r>
        <w:t xml:space="preserve">Zur Insolvenzverwalterin wird bestellt: Rechtsanwältin </w:t>
      </w:r>
      <w:r>
        <w:rPr>
          <w:b/>
        </w:rPr>
        <w:t>Dr. Henrike Wittkopp</w:t>
      </w:r>
      <w:r>
        <w:t>, Georgstraße 24, 30159 Hannover.</w:t>
      </w:r>
    </w:p>
    <w:p>
      <w:pPr>
        <w:pStyle w:val="ListNumber"/>
      </w:pPr>
      <w:r>
        <w:t>Die Schuldnerin verliert die Befugnis, ihr Vermögen zu verwalten und über es zu verfügen; diese Befugnis geht auf die Insolvenzverwalterin über (§ 80 Abs. 1 InsO).</w:t>
      </w:r>
    </w:p>
    <w:p>
      <w:pPr>
        <w:pStyle w:val="ListNumber"/>
      </w:pPr>
      <w:r>
        <w:t xml:space="preserve">Die Gläubiger werden aufgefordert, ihre Forderungen bis zum </w:t>
      </w:r>
      <w:r>
        <w:rPr>
          <w:b/>
        </w:rPr>
        <w:t>26. Mai 2026</w:t>
      </w:r>
      <w:r>
        <w:t xml:space="preserve"> schriftlich bei der Insolvenzverwalterin anzumelden (§ 28 Abs. 1 InsO) und ihr unverzüglich mitzuteilen, welche Sicherungsrechte sie an beweglichen Sachen oder Rechten der Schuldnerin beanspruchen (§ 28 Abs. 2 InsO).</w:t>
      </w:r>
    </w:p>
    <w:p>
      <w:pPr>
        <w:pStyle w:val="ListNumber"/>
      </w:pPr>
      <w:r>
        <w:t>Personen, die Verpflichtungen gegenüber der Schuldnerin haben, wird aufgegeben, nicht mehr an die Schuldnerin, sondern nur noch an die Insolvenzverwalterin zu leisten (§ 28 Abs. 3 InsO).</w:t>
      </w:r>
    </w:p>
    <w:p>
      <w:pPr>
        <w:pStyle w:val="ListNumber"/>
      </w:pPr>
      <w:r>
        <w:t xml:space="preserve">Berichtstermin: </w:t>
      </w:r>
      <w:r>
        <w:rPr>
          <w:b/>
        </w:rPr>
        <w:t>17. Juni 2026, 10:00 Uhr</w:t>
      </w:r>
      <w:r>
        <w:t xml:space="preserve">; Prüfungstermin: </w:t>
      </w:r>
      <w:r>
        <w:rPr>
          <w:b/>
        </w:rPr>
        <w:t>17. Juni 2026, 11:00 Uhr</w:t>
      </w:r>
      <w:r>
        <w:t>, jeweils Saal 127.</w:t>
      </w:r>
    </w:p>
    <w:p>
      <w:pPr>
        <w:jc w:val="left"/>
      </w:pPr>
      <w:r>
        <w:t>gez. Dr. Feldbrügge, Richterin am Amtsgericht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