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D&amp;O-Versicherungsschein (Auszug)</w:t>
      </w:r>
    </w:p>
    <w:p>
      <w:pPr>
        <w:jc w:val="left"/>
      </w:pPr>
      <w:r>
        <w:rPr>
          <w:b/>
        </w:rPr>
        <w:t>Hannoversche Kaution und Industrie Versicherung AG</w:t>
      </w:r>
      <w:r>
        <w:t xml:space="preserve"> · Abteilung Financial Lines · Aegidientorplatz 4 · 30159 Hannover</w:t>
      </w:r>
    </w:p>
    <w:p>
      <w:pPr>
        <w:jc w:val="left"/>
      </w:pPr>
      <w:r>
        <w:t>Versicherungsschein-Nr.: FL-DO-2023-448291 · Stand: Nachtrag 2 vom 01.07.2025</w:t>
      </w:r>
    </w:p>
    <w:p>
      <w:pPr>
        <w:jc w:val="left"/>
      </w:pPr>
      <w:r>
        <w:t>Versicherungsnehmerin: Nordlicht Systemgastronomie GmbH, Hannover</w:t>
      </w:r>
    </w:p>
    <w:p>
      <w:pPr>
        <w:jc w:val="left"/>
      </w:pPr>
      <w:r>
        <w:t>Versicherte Personen: die Mitglieder der Geschäftsführung der Versicherungsnehmerin</w:t>
      </w:r>
    </w:p>
    <w:p>
      <w:pPr>
        <w:pStyle w:val="Heading2"/>
      </w:pPr>
      <w:r>
        <w:rPr>
          <w:rFonts w:ascii="Times New Roman" w:hAnsi="Times New Roman"/>
        </w:rPr>
        <w:t>1 Versicherungssumme und Selbstbehalt</w:t>
      </w:r>
    </w:p>
    <w:p>
      <w:pPr>
        <w:jc w:val="left"/>
      </w:pPr>
      <w:r>
        <w:t>Versicherungssumme: 2.000.000,00 EUR je Versicherungsfall und Versicherungsjahr. Selbstbehalt der versicherten Person bei Innenhaftungsansprüchen: entsprechend § 93 Abs. 2 Satz 3 AktG analog vereinbart mit 10 Prozent des Schadens, höchstens 15.000,00 EUR je Versicherungsfall.</w:t>
      </w:r>
    </w:p>
    <w:p>
      <w:pPr>
        <w:pStyle w:val="Heading2"/>
      </w:pPr>
      <w:r>
        <w:rPr>
          <w:rFonts w:ascii="Times New Roman" w:hAnsi="Times New Roman"/>
        </w:rPr>
        <w:t>2 Versicherte Ansprüche (Auszug aus Ziffer 3 der Bedingungen)</w:t>
      </w:r>
    </w:p>
    <w:p>
      <w:pPr>
        <w:jc w:val="left"/>
      </w:pPr>
      <w:r>
        <w:t>Versichert sind gesetzliche Haftpflichtansprüche wegen Vermögensschäden, die gegen eine versicherte Person aufgrund ihrer organschaftlichen Tätigkeit geltend gemacht werden. Ansprüche der Gesellschaft selbst (Innenhaftung) sind eingeschlossen; als Vermögensschaden gelten auch Erstattungsansprüche wegen nach Eintritt der Insolvenzreife geleisteter Zahlungen im Sinne des § 15b InsO, soweit nicht Ausschlüsse eingreifen.</w:t>
      </w:r>
    </w:p>
    <w:p>
      <w:pPr>
        <w:pStyle w:val="Heading2"/>
      </w:pPr>
      <w:r>
        <w:rPr>
          <w:rFonts w:ascii="Times New Roman" w:hAnsi="Times New Roman"/>
        </w:rPr>
        <w:t>3 Ausschlüsse (Auszug aus Ziffer 7 der Bedingungen)</w:t>
      </w:r>
    </w:p>
    <w:p>
      <w:pPr>
        <w:jc w:val="left"/>
      </w:pPr>
      <w:r>
        <w:t>Vom Versicherungsschutz ausgeschlossen sind Ansprüche wegen vorsätzlicher Schadensverursachung oder wissentlicher Pflichtverletzung. Die wissentliche Pflichtverletzung ist bewiesen, wenn die versicherte Person die verletzte Pflicht positiv kannte und sich bewusst über sie hinweggesetzt hat; bedingter Vorsatz genügt nicht. Bis zur rechtskräftigen Feststellung besteht vorläufiger Abwehrkostenschutz.</w:t>
      </w:r>
    </w:p>
    <w:p>
      <w:pPr>
        <w:pStyle w:val="Heading2"/>
      </w:pPr>
      <w:r>
        <w:rPr>
          <w:rFonts w:ascii="Times New Roman" w:hAnsi="Times New Roman"/>
        </w:rPr>
        <w:t>4 Anzeigeobliegenheiten</w:t>
      </w:r>
    </w:p>
    <w:p>
      <w:pPr>
        <w:jc w:val="left"/>
      </w:pPr>
      <w:r>
        <w:t>Der Versicherungsfall ist unverzüglich, spätestens innerhalb von vier Wochen nach erstmaliger schriftlicher Anspruchserhebung, anzuzeigen. Der Eintritt der Insolvenz der Versicherungsnehmerin lässt den Versicherungsschutz für versicherte Personen unberührt; die Rechte aus dem Vertrag stehen insoweit den versicherten Personen zu.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