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Vertriebsvertrag Italien</w:t>
      </w:r>
    </w:p>
    <w:p>
      <w:r>
        <w:t>WM-IT V1 | 20. August 2026 | Herstellerentwurf, nicht unterzeichnet</w:t>
      </w:r>
    </w:p>
    <w:p>
      <w:pPr>
        <w:pStyle w:val="Heading1"/>
        <w:keepNext/>
        <w:spacing w:after="0"/>
      </w:pPr>
      <w:r>
        <w:t>1 Vertragsparteien und Vertragsprodukte</w:t>
      </w:r>
    </w:p>
    <w:p>
      <w:pPr>
        <w:keepNext/>
        <w:spacing w:before="0" w:after="0" w:line="220" w:lineRule="exact"/>
        <w:rPr>
          <w:sz w:val="22"/>
          <w:szCs w:val="22"/>
        </w:rPr>
      </w:pPr>
    </w:p>
    <w:p>
      <w:pPr>
        <w:pStyle w:val="Heading2"/>
        <w:keepNext/>
        <w:spacing w:after="0"/>
      </w:pPr>
      <w:r>
        <w:t>1.1 Parteien</w:t>
      </w:r>
    </w:p>
    <w:p>
      <w:pPr>
        <w:keepNext/>
        <w:spacing w:before="0" w:after="0" w:line="220" w:lineRule="exact"/>
        <w:rPr>
          <w:sz w:val="22"/>
          <w:szCs w:val="22"/>
        </w:rPr>
      </w:pPr>
    </w:p>
    <w:p>
      <w:r>
        <w:t>Die Weserblick Messtechnik GmbH, Am Speicherbogen 18, 28197 Bremen, Deutschland, vertreten durch Geschäftsführerin Anneke Martens, wird nachfolgend Herstellerin genannt. Die Luminara Strumenti S.r.l., Via del Calibratore 22, 40138 Bologna, Italien, vertreten durch Geschäftsführerin Giulia Bellini, wird nachfolgend Händlerin genannt. Beide Parteien führen ihr Geschäft rechtlich und wirtschaftlich selbstständig.</w:t>
      </w:r>
    </w:p>
    <w:p>
      <w:pPr>
        <w:pStyle w:val="Heading2"/>
        <w:keepNext/>
        <w:spacing w:after="0"/>
      </w:pPr>
      <w:r>
        <w:t>1.2 Produkte</w:t>
      </w:r>
    </w:p>
    <w:p>
      <w:pPr>
        <w:keepNext/>
        <w:spacing w:before="0" w:after="0" w:line="220" w:lineRule="exact"/>
        <w:rPr>
          <w:sz w:val="22"/>
          <w:szCs w:val="22"/>
        </w:rPr>
      </w:pPr>
    </w:p>
    <w:p>
      <w:r>
        <w:t>Gegenstand sind die Messmodule M24 und M48 samt den im jeweiligen Angebot bezeichneten Anschlusssteckern und Prüfblättern. Andere Gerätereihen und zukünftige Nachfolgeprodukte werden nur durch schriftliche Ergänzung einbezogen. Änderungen an Gehäuse, Messbereich oder Schnittstellen kündigt die Herstellerin sechs Monate vor der ersten geänderten Lieferung an, soweit nicht eine dringende technische Korrektur erforderlich ist.</w:t>
      </w:r>
    </w:p>
    <w:p>
      <w:pPr>
        <w:pStyle w:val="Heading1"/>
        <w:keepNext/>
        <w:spacing w:after="0"/>
      </w:pPr>
      <w:r>
        <w:t>2 Einkauf und Wiederverkauf</w:t>
      </w:r>
    </w:p>
    <w:p>
      <w:pPr>
        <w:keepNext/>
        <w:spacing w:before="0" w:after="0" w:line="220" w:lineRule="exact"/>
        <w:rPr>
          <w:sz w:val="22"/>
          <w:szCs w:val="22"/>
        </w:rPr>
      </w:pPr>
    </w:p>
    <w:p>
      <w:pPr>
        <w:pStyle w:val="Heading2"/>
        <w:keepNext/>
        <w:spacing w:after="0"/>
      </w:pPr>
      <w:r>
        <w:t>2.1 Eigenes Geschäft</w:t>
      </w:r>
    </w:p>
    <w:p>
      <w:pPr>
        <w:keepNext/>
        <w:spacing w:before="0" w:after="0" w:line="220" w:lineRule="exact"/>
        <w:rPr>
          <w:sz w:val="22"/>
          <w:szCs w:val="22"/>
        </w:rPr>
      </w:pPr>
    </w:p>
    <w:p>
      <w:r>
        <w:t>Die Händlerin kauft Produkte im eigenen Namen und auf eigene Rechnung und verkauft sie in eigenem Namen an gewerbliche Kunden weiter. Sie schließt keine Verträge im Namen der Herstellerin und darf diese weder zu Lieferungen noch zu Preisnachlässen verpflichten. Kundenforderungen und das Risiko ausbleibender Kundenzahlungen verbleiben bei der Händlerin. Sie richtet ihre Wiederverkaufspreise selbst ein.</w:t>
      </w:r>
    </w:p>
    <w:p>
      <w:pPr>
        <w:pStyle w:val="Heading2"/>
        <w:keepNext/>
        <w:spacing w:after="0"/>
      </w:pPr>
      <w:r>
        <w:t>2.2 Vergütung</w:t>
      </w:r>
    </w:p>
    <w:p>
      <w:pPr>
        <w:keepNext/>
        <w:spacing w:before="0" w:after="0" w:line="220" w:lineRule="exact"/>
        <w:rPr>
          <w:sz w:val="22"/>
          <w:szCs w:val="22"/>
        </w:rPr>
      </w:pPr>
    </w:p>
    <w:p>
      <w:r>
        <w:t>Die Händlerin erzielt ihre Vergütung aus der Differenz zwischen ihrem Einkaufspreis und ihrem Wiederverkaufserlös. Für eigene Wiederverkäufe zahlt die Herstellerin keine Provision. Wünscht die Herstellerin Leistungen der Händlerin für ein unmittelbares Kundengeschäft, werden Umfang und Entgelt vor Beginn in einem gesonderten Serviceauftrag festgehalten. Die bloße Weitergabe einer Anfrage begründet in diesem Entwurf keinen Zahlungsanspruch.</w:t>
      </w:r>
    </w:p>
    <w:p>
      <w:pPr>
        <w:pStyle w:val="Heading1"/>
        <w:keepNext/>
        <w:spacing w:after="0"/>
      </w:pPr>
      <w:r>
        <w:t>3 Gebiet und Direktkunden</w:t>
      </w:r>
    </w:p>
    <w:p>
      <w:pPr>
        <w:keepNext/>
        <w:spacing w:before="0" w:after="0" w:line="220" w:lineRule="exact"/>
        <w:rPr>
          <w:sz w:val="22"/>
          <w:szCs w:val="22"/>
        </w:rPr>
      </w:pPr>
    </w:p>
    <w:p>
      <w:pPr>
        <w:pStyle w:val="Heading2"/>
        <w:keepNext/>
        <w:spacing w:after="0"/>
      </w:pPr>
      <w:r>
        <w:t>3.1 Italien</w:t>
      </w:r>
    </w:p>
    <w:p>
      <w:pPr>
        <w:keepNext/>
        <w:spacing w:before="0" w:after="0" w:line="220" w:lineRule="exact"/>
        <w:rPr>
          <w:sz w:val="22"/>
          <w:szCs w:val="22"/>
        </w:rPr>
      </w:pPr>
    </w:p>
    <w:p>
      <w:r>
        <w:t>Die Herstellerin bestellt die Händlerin für die Dauer dieses Vertrags exklusiv für das Gebiet Italien. Deutschland, Österreich und die Schweiz gehören nicht zum Vertragsgebiet. Die Herstellerin wird in Italien keinen weiteren Händler für die Vertragsprodukte bestellen. Die Händlerin unterhält in Bologna einen erreichbaren Ansprechpartner und ein Lager für die laufende Versorgung italienischer Kunden.</w:t>
      </w:r>
    </w:p>
    <w:p>
      <w:pPr>
        <w:pStyle w:val="Heading2"/>
        <w:keepNext/>
        <w:spacing w:after="0"/>
      </w:pPr>
      <w:r>
        <w:t>3.2 Vorbehaltene Kunden</w:t>
      </w:r>
    </w:p>
    <w:p>
      <w:pPr>
        <w:keepNext/>
        <w:spacing w:before="0" w:after="0" w:line="220" w:lineRule="exact"/>
        <w:rPr>
          <w:sz w:val="22"/>
          <w:szCs w:val="22"/>
        </w:rPr>
      </w:pPr>
    </w:p>
    <w:p>
      <w:r>
        <w:t>Die Herstellerin behält sich die direkte Belieferung von Adria Cartoni S.p.A. und sämtlichen gegenwärtigen und zukünftigen Konzerngesellschaften dieses Unternehmens vor. Der Vorbehalt erstreckt sich auf alle Standorte und alle Vertragsprodukte. Anfragen dieser Unternehmen leitet die Händlerin unverzüglich an die Herstellerin weiter. Die Anlage DK-IT-01 enthält die derzeit bekannten italienischen Abnahmestellen; sie begrenzt den Vorbehalt nicht auf diese Stellen.</w:t>
      </w:r>
    </w:p>
    <w:p>
      <w:pPr>
        <w:pStyle w:val="Heading2"/>
        <w:keepNext/>
        <w:spacing w:after="0"/>
      </w:pPr>
      <w:r>
        <w:t>3.3 Weitere Direktgeschäfte</w:t>
      </w:r>
    </w:p>
    <w:p>
      <w:pPr>
        <w:keepNext/>
        <w:spacing w:before="0" w:after="0" w:line="220" w:lineRule="exact"/>
        <w:rPr>
          <w:sz w:val="22"/>
          <w:szCs w:val="22"/>
        </w:rPr>
      </w:pPr>
    </w:p>
    <w:p>
      <w:r>
        <w:t>Die Herstellerin darf ferner europaweite Rahmenverträge mit zentralem Einkauf außerhalb Italiens auch für italienische Lieferorte erfüllen. Sie informiert die Händlerin vor dem ersten Abruf, soweit die Vertraulichkeit des jeweiligen Rahmenvertrags dies zulässt. Eine Anrechnung dieser Umsätze auf den Mindestbezug der Händlerin oder eine Vergütung ist nicht vorgesehen. Italienische Einzelanfragen außerhalb dieser Vorbehalte werden der Händlerin zur Bearbeitung zugeleitet.</w:t>
      </w:r>
    </w:p>
    <w:p>
      <w:pPr>
        <w:pStyle w:val="Heading1"/>
        <w:keepNext/>
        <w:spacing w:after="0"/>
      </w:pPr>
      <w:r>
        <w:t>4 Onlinevertrieb und Außenauftritt</w:t>
      </w:r>
    </w:p>
    <w:p>
      <w:pPr>
        <w:keepNext/>
        <w:spacing w:before="0" w:after="0" w:line="220" w:lineRule="exact"/>
        <w:rPr>
          <w:sz w:val="22"/>
          <w:szCs w:val="22"/>
        </w:rPr>
      </w:pPr>
    </w:p>
    <w:p>
      <w:pPr>
        <w:pStyle w:val="Heading2"/>
        <w:keepNext/>
        <w:spacing w:after="0"/>
      </w:pPr>
      <w:r>
        <w:t>4.1 Bestellwege</w:t>
      </w:r>
    </w:p>
    <w:p>
      <w:pPr>
        <w:keepNext/>
        <w:spacing w:before="0" w:after="0" w:line="220" w:lineRule="exact"/>
        <w:rPr>
          <w:sz w:val="22"/>
          <w:szCs w:val="22"/>
        </w:rPr>
      </w:pPr>
    </w:p>
    <w:p>
      <w:r>
        <w:t>Die Händlerin darf einen eigenen italienischsprachigen Onlineshop betreiben. Die Nutzung offener Marktplätze für Vertragsprodukte setzt eine vorherige schriftliche Zustimmung der Herstellerin voraus. Die Händlerin soll in ihrem Shop Bestellungen mit Lieferadressen außerhalb Italiens sperren und Anfragen von außerhalb des Gebiets an die Herstellerin weitergeben. Die Herstellerin entscheidet über deren Bearbeitung. Diese Vorgaben gelten auch für bezahlte Onlinewerbung, die gezielt auf andere Länder ausgerichtet wird.</w:t>
      </w:r>
    </w:p>
    <w:p>
      <w:pPr>
        <w:pStyle w:val="Heading2"/>
        <w:keepNext/>
        <w:spacing w:after="0"/>
      </w:pPr>
      <w:r>
        <w:t>4.2 Herstellerportal</w:t>
      </w:r>
    </w:p>
    <w:p>
      <w:pPr>
        <w:keepNext/>
        <w:spacing w:before="0" w:after="0" w:line="220" w:lineRule="exact"/>
        <w:rPr>
          <w:sz w:val="22"/>
          <w:szCs w:val="22"/>
        </w:rPr>
      </w:pPr>
    </w:p>
    <w:p>
      <w:r>
        <w:t>Das Bestellportal der Herstellerin bleibt für bestehende Benutzer geöffnet. Bestellungen italienischer Lieferadressen außerhalb der Direktkundenvorbehalte werden intern an die Händlerin weitergeleitet, sobald die erforderliche Zuordnung im Portal eingerichtet ist. Bis dahin bestätigt die Herstellerin solche Aufträge selbst. Eine technische Umstellung wird nicht vor dem 1. April 2027 zugesagt. Umsätze dieser Übergangsphase werden nicht auf den Mindestbezug angerechnet.</w:t>
      </w:r>
    </w:p>
    <w:p>
      <w:pPr>
        <w:pStyle w:val="Heading2"/>
        <w:keepNext/>
        <w:spacing w:after="0"/>
      </w:pPr>
      <w:r>
        <w:t>4.3 Kennzeichen und Werbung</w:t>
      </w:r>
    </w:p>
    <w:p>
      <w:pPr>
        <w:keepNext/>
        <w:spacing w:before="0" w:after="0" w:line="220" w:lineRule="exact"/>
        <w:rPr>
          <w:sz w:val="22"/>
          <w:szCs w:val="22"/>
        </w:rPr>
      </w:pPr>
    </w:p>
    <w:p>
      <w:r>
        <w:t>Die Händlerin darf Namen und Produktabbildungen der Herstellerin für den Absatz der Vertragsprodukte verwenden. Sie kennzeichnet ihren eigenen Firmennamen und ihre eigene Verantwortung für den Verkauf. Technische Werbeaussagen müssen mit den überlassenen Datenblättern übereinstimmen. Übersetzungen sicherheitsrelevanter Hinweise werden der Herstellerin vor Veröffentlichung zur Freigabe vorgelegt; die Herstellerin antwortet innerhalb von zehn Arbeitstagen.</w:t>
      </w:r>
    </w:p>
    <w:p>
      <w:pPr>
        <w:pStyle w:val="Heading1"/>
        <w:keepNext/>
        <w:spacing w:after="0"/>
      </w:pPr>
      <w:r>
        <w:t>5 Mindestbezug und Planung</w:t>
      </w:r>
    </w:p>
    <w:p>
      <w:pPr>
        <w:keepNext/>
        <w:spacing w:before="0" w:after="0" w:line="220" w:lineRule="exact"/>
        <w:rPr>
          <w:sz w:val="22"/>
          <w:szCs w:val="22"/>
        </w:rPr>
      </w:pPr>
    </w:p>
    <w:p>
      <w:pPr>
        <w:pStyle w:val="Heading2"/>
        <w:keepNext/>
        <w:spacing w:after="0"/>
      </w:pPr>
      <w:r>
        <w:t>5.1 Jahresbeträge</w:t>
      </w:r>
    </w:p>
    <w:p>
      <w:pPr>
        <w:keepNext/>
        <w:spacing w:before="0" w:after="0" w:line="220" w:lineRule="exact"/>
        <w:rPr>
          <w:sz w:val="22"/>
          <w:szCs w:val="22"/>
        </w:rPr>
      </w:pPr>
    </w:p>
    <w:p>
      <w:r>
        <w:t>Die Händlerin bezieht im Kalenderjahr 2027 Vertragsprodukte mit einem Nettowarenwert von mindestens 180.000,00 EUR, im Jahr 2028 mindestens 220.000,00 EUR und im Jahr 2029 mindestens 260.000,00 EUR. Maßgeblich sind ausgelieferte und nicht gutgeschriebene Warenlieferungen an die Händlerin. Serviceentgelte, Steuer, Frachtzuschläge und Direktkundengeschäfte zählen nicht mit. Die Erstbevorratung von 35.550,00 EUR zählt zum Mindestbezug 2027, wenn sie 2027 ausgeliefert wird.</w:t>
      </w:r>
    </w:p>
    <w:p>
      <w:pPr>
        <w:pStyle w:val="Heading2"/>
        <w:keepNext/>
        <w:spacing w:after="0"/>
      </w:pPr>
      <w:r>
        <w:t>5.2 Folge einer Unterschreitung</w:t>
      </w:r>
    </w:p>
    <w:p>
      <w:pPr>
        <w:keepNext/>
        <w:spacing w:before="0" w:after="0" w:line="220" w:lineRule="exact"/>
        <w:rPr>
          <w:sz w:val="22"/>
          <w:szCs w:val="22"/>
        </w:rPr>
      </w:pPr>
    </w:p>
    <w:p>
      <w:r>
        <w:t>Wird der Jahresmindestbezug um mehr als zehn Prozent unterschritten, darf die Herstellerin die Exklusivität für das Folgejahr durch Mitteilung bis 31. Januar dieses Folgejahres beenden. Zuvor besprechen die Parteien die Bezugszahlen und Lieferausfälle der Herstellerin. Nicht rechtzeitig gelieferte, bestätigte Bestellungen werden bei dieser Berechnung so behandelt, als seien sie im zugesagten Jahr ausgeliefert worden. Eine Pflicht zur Bezahlung nicht bestellter Ware entsteht durch den Mindestbezug allein nicht.</w:t>
      </w:r>
    </w:p>
    <w:p>
      <w:pPr>
        <w:pStyle w:val="Heading2"/>
        <w:keepNext/>
        <w:spacing w:after="0"/>
      </w:pPr>
      <w:r>
        <w:t>5.3 Forecast</w:t>
      </w:r>
    </w:p>
    <w:p>
      <w:pPr>
        <w:keepNext/>
        <w:spacing w:before="0" w:after="0" w:line="220" w:lineRule="exact"/>
        <w:rPr>
          <w:sz w:val="22"/>
          <w:szCs w:val="22"/>
        </w:rPr>
      </w:pPr>
    </w:p>
    <w:p>
      <w:r>
        <w:t>Die Händlerin übermittelt bis zum zehnten Arbeitstag jedes Monats eine rollierende Mengenplanung für die nächsten zwölf Monate. Die ersten zwei Monate werden durch Einzelbestellungen konkretisiert; die übrigen Monate bleiben Planung. Eine Forecast-Zeile ist keine Bestellung. Lieferkapazitäten werden erst mit der jeweiligen Auftragsbestätigung verbindlich reserviert.</w:t>
      </w:r>
    </w:p>
    <w:p>
      <w:pPr>
        <w:pStyle w:val="Heading1"/>
        <w:keepNext/>
        <w:spacing w:after="0"/>
      </w:pPr>
      <w:r>
        <w:t>6 Bestellungen und Änderungen</w:t>
      </w:r>
    </w:p>
    <w:p>
      <w:pPr>
        <w:keepNext/>
        <w:spacing w:before="0" w:after="0" w:line="220" w:lineRule="exact"/>
        <w:rPr>
          <w:sz w:val="22"/>
          <w:szCs w:val="22"/>
        </w:rPr>
      </w:pPr>
    </w:p>
    <w:p>
      <w:r>
        <w:t>Bestellungen nennen Produkt, Menge, gewünschten Liefertermin und Lieferort. Ein Einzelauftrag kommt durch die Auftragsbestätigung der Herstellerin zustande. Abweichungen von Menge, Preis oder Termin müssen darin ausdrücklich bezeichnet werden und bedürfen der Bestätigung durch die Händlerin. Nach bestätigtem Produktionsbeginn kann die Händlerin Mengen nicht einseitig stornieren. Die Herstellerin legt auf Anfrage die Kosten einer möglichen Änderung vor.</w:t>
      </w:r>
    </w:p>
    <w:p>
      <w:pPr>
        <w:pStyle w:val="Heading1"/>
        <w:keepNext/>
        <w:spacing w:after="0"/>
      </w:pPr>
      <w:r>
        <w:t>7 Preise und Zahlung</w:t>
      </w:r>
    </w:p>
    <w:p>
      <w:pPr>
        <w:keepNext/>
        <w:spacing w:before="0" w:after="0" w:line="220" w:lineRule="exact"/>
        <w:rPr>
          <w:sz w:val="22"/>
          <w:szCs w:val="22"/>
        </w:rPr>
      </w:pPr>
    </w:p>
    <w:p>
      <w:pPr>
        <w:pStyle w:val="Heading2"/>
        <w:keepNext/>
        <w:spacing w:after="0"/>
      </w:pPr>
      <w:r>
        <w:t>7.1 Einkaufspreise</w:t>
      </w:r>
    </w:p>
    <w:p>
      <w:pPr>
        <w:keepNext/>
        <w:spacing w:before="0" w:after="0" w:line="220" w:lineRule="exact"/>
        <w:rPr>
          <w:sz w:val="22"/>
          <w:szCs w:val="22"/>
        </w:rPr>
      </w:pPr>
    </w:p>
    <w:p>
      <w:r>
        <w:t>Für Lieferungen 2027 gelten 420,00 EUR netto je M24 und 690,00 EUR netto je M48. Die Preise enthalten Standardverpackung und Standardtransport nach Bologna bei einem Nettowarenwert von mindestens 10.000,00 EUR je Sendung. Kleinere Sendungen werden mit 180,00 EUR netto Fracht berechnet. Die Preisänderung für ein Folgejahr wird bis 30. September des Vorjahres angekündigt; bestätigte Einzelaufträge bleiben unverändert.</w:t>
      </w:r>
    </w:p>
    <w:p>
      <w:pPr>
        <w:pStyle w:val="Heading2"/>
        <w:keepNext/>
        <w:spacing w:after="0"/>
      </w:pPr>
      <w:r>
        <w:t>7.2 Zahlungsstufen</w:t>
      </w:r>
    </w:p>
    <w:p>
      <w:pPr>
        <w:keepNext/>
        <w:spacing w:before="0" w:after="0" w:line="220" w:lineRule="exact"/>
        <w:rPr>
          <w:sz w:val="22"/>
          <w:szCs w:val="22"/>
        </w:rPr>
      </w:pPr>
    </w:p>
    <w:p>
      <w:r>
        <w:t>Die Händlerin zahlt 30 Prozent nach Auftragsbestätigung, 40 Prozent vor Versand und 30 Prozent binnen 15 Kalendertagen nach Ablieferung. Eine abweichende Kreditlinie oder ein Ziel von 45 Tagen entsteht nicht durch das Einreichen einer Bestellung mit diesen Angaben. Steuerpositionen werden erst nach Prüfung der erforderlichen Stammdaten und Liefernachweise in der endgültigen Rechnung ausgewiesen. Die Proforma ersetzt keine Rechnung und löst für sich keine Zahlungspflicht aus.</w:t>
      </w:r>
    </w:p>
    <w:p>
      <w:pPr>
        <w:pStyle w:val="Heading2"/>
        <w:keepNext/>
        <w:spacing w:after="0"/>
      </w:pPr>
      <w:r>
        <w:t>7.3 Überfällige Beträge</w:t>
      </w:r>
    </w:p>
    <w:p>
      <w:pPr>
        <w:keepNext/>
        <w:spacing w:before="0" w:after="0" w:line="220" w:lineRule="exact"/>
        <w:rPr>
          <w:sz w:val="22"/>
          <w:szCs w:val="22"/>
        </w:rPr>
      </w:pPr>
    </w:p>
    <w:p>
      <w:r>
        <w:t>Bei unbeglichenen fälligen Forderungen darf die Herstellerin nach schriftlicher Erinnerung und einer Nachfrist von zehn Kalendertagen weitere Auslieferungen aussetzen. Sie benennt die betroffenen Rechnungen und die zur Wiederaufnahme erforderliche Zahlung. Bereits bestätigte Liefertermine werden anschließend neu abgestimmt. Unstreitige Teile einer Rechnung bleiben zu zahlen, auch wenn über einen anderen Teil Einwendungen bestehen.</w:t>
      </w:r>
    </w:p>
    <w:p>
      <w:pPr>
        <w:pStyle w:val="Heading1"/>
        <w:keepNext/>
        <w:spacing w:after="0"/>
      </w:pPr>
      <w:r>
        <w:t>8 Transport, Wareneingang und Eigentum</w:t>
      </w:r>
    </w:p>
    <w:p>
      <w:pPr>
        <w:keepNext/>
        <w:spacing w:before="0" w:after="0" w:line="220" w:lineRule="exact"/>
        <w:rPr>
          <w:sz w:val="22"/>
          <w:szCs w:val="22"/>
        </w:rPr>
      </w:pPr>
    </w:p>
    <w:p>
      <w:r>
        <w:t>Die Herstellerin verpackt die Geräte transportsicher und übergibt sie dem ausgewählten Frachtführer. Die Gefahr geht mit Ablieferung an die Händlerin in Bologna über; die Händlerin organisiert und verantwortet das Entladen. Sichtbare Transportschäden werden bei Empfang auf dem Ablieferbeleg festgehalten und mit Fotos binnen zwei Arbeitstagen übermittelt. Nicht sichtbare Funktionsabweichungen werden nach Feststellung mit Seriennummer und Befund gemeldet.</w:t>
      </w:r>
    </w:p>
    <w:p>
      <w:r>
        <w:t>Die Ware bleibt bis zur vollständigen Zahlung des jeweiligen Kaufpreises Eigentum der Herstellerin. Der ordentliche Weiterverkauf durch die Händlerin ist gestattet. Vor vollständiger Bezahlung darf sie die Ware nicht als Sicherheit an Dritte übertragen. Bei Rückholung noch nicht verkaufter Ware stimmen die Parteien Zutritt, Zählung und Transport ab; die Herstellerin darf Lagerflächen der Händlerin nicht ohne Abstimmung betreten.</w:t>
      </w:r>
    </w:p>
    <w:p>
      <w:pPr>
        <w:pStyle w:val="Heading1"/>
        <w:keepNext/>
        <w:spacing w:after="0"/>
      </w:pPr>
      <w:r>
        <w:t>9 Kundendienst und Mängelbearbeitung</w:t>
      </w:r>
    </w:p>
    <w:p>
      <w:pPr>
        <w:keepNext/>
        <w:spacing w:before="0" w:after="0" w:line="220" w:lineRule="exact"/>
        <w:rPr>
          <w:sz w:val="22"/>
          <w:szCs w:val="22"/>
        </w:rPr>
      </w:pPr>
    </w:p>
    <w:p>
      <w:pPr>
        <w:pStyle w:val="Heading2"/>
        <w:keepNext/>
        <w:spacing w:after="0"/>
      </w:pPr>
      <w:r>
        <w:t>9.1 Erstkontakt</w:t>
      </w:r>
    </w:p>
    <w:p>
      <w:pPr>
        <w:keepNext/>
        <w:spacing w:before="0" w:after="0" w:line="220" w:lineRule="exact"/>
        <w:rPr>
          <w:sz w:val="22"/>
          <w:szCs w:val="22"/>
        </w:rPr>
      </w:pPr>
    </w:p>
    <w:p>
      <w:r>
        <w:t>Die Händlerin nimmt Kundenmeldungen auf Italienisch entgegen, prüft Seriennummer, Spannungsversorgung und Anschlussbelegung und dokumentiert das Ergebnis im RMA-Protokoll. Eingriffe in vergossene Elektronik und Kalibrieränderungen sind ohne Freigabe der Herstellerin untersagt. Kann die Händlerin einen Fehler nicht eingrenzen, übermittelt sie Messwerte und Fotos an den Service in Bremen. Die Herstellerin meldet sich an Arbeitstagen innerhalb von zwei Arbeitstagen.</w:t>
      </w:r>
    </w:p>
    <w:p>
      <w:pPr>
        <w:pStyle w:val="Heading2"/>
        <w:keepNext/>
        <w:spacing w:after="0"/>
      </w:pPr>
      <w:r>
        <w:t>9.2 Reparatur</w:t>
      </w:r>
    </w:p>
    <w:p>
      <w:pPr>
        <w:keepNext/>
        <w:spacing w:before="0" w:after="0" w:line="220" w:lineRule="exact"/>
        <w:rPr>
          <w:sz w:val="22"/>
          <w:szCs w:val="22"/>
        </w:rPr>
      </w:pPr>
    </w:p>
    <w:p>
      <w:r>
        <w:t>Die Herstellerin bearbeitet produktbezogene Mängel innerhalb von 24 Monaten ab Lieferung an die Händlerin durch Reparatur oder Ersatz. Die Händlerin meldet Fehler möglichst vor Rücksendung an und erhält eine RMA-Nummer. Bestätigt sich ein Fehler der gelieferten Ware, übernimmt die Herstellerin angemessene Rückfracht und erneuten Versand. Schäden durch falschen Anschluss, Flüssigkeitseintritt oder nicht freigegebene Eingriffe werden nach Befund gesondert angeboten. Eine Diagnosepauschale wird nur nach vorheriger Zustimmung der Händlerin berechnet.</w:t>
      </w:r>
    </w:p>
    <w:p>
      <w:pPr>
        <w:pStyle w:val="Heading2"/>
        <w:keepNext/>
        <w:spacing w:after="0"/>
      </w:pPr>
      <w:r>
        <w:t>9.3 Servicevergütung und Austauschbestand</w:t>
      </w:r>
    </w:p>
    <w:p>
      <w:pPr>
        <w:keepNext/>
        <w:spacing w:before="0" w:after="0" w:line="220" w:lineRule="exact"/>
        <w:rPr>
          <w:sz w:val="22"/>
          <w:szCs w:val="22"/>
        </w:rPr>
      </w:pPr>
    </w:p>
    <w:p>
      <w:r>
        <w:t>Die Händlerin erbringt die Aufnahme und einfache Erstprüfung gegenüber eigenen Kunden aus ihrer Handelsspanne. Für Einsätze bei vorbehaltenen Direktkunden braucht sie vorab einen schriftlichen Serviceauftrag. Ein Pool aus sechs Austauschgeräten wird nicht unentgeltlich gestellt; dessen Kauf oder Leihe wird gesondert vereinbart. Die Herstellerin sagt keine Wiederherstellung innerhalb von 48 Stunden zu. Die Händlerin darf eigene kürzere Servicezusagen machen, ohne die Herstellerin damit zu verpflichten.</w:t>
      </w:r>
    </w:p>
    <w:p>
      <w:pPr>
        <w:pStyle w:val="Heading2"/>
        <w:keepNext/>
        <w:spacing w:after="0"/>
      </w:pPr>
      <w:r>
        <w:t>9.4 Schulung</w:t>
      </w:r>
    </w:p>
    <w:p>
      <w:pPr>
        <w:keepNext/>
        <w:spacing w:before="0" w:after="0" w:line="220" w:lineRule="exact"/>
        <w:rPr>
          <w:sz w:val="22"/>
          <w:szCs w:val="22"/>
        </w:rPr>
      </w:pPr>
    </w:p>
    <w:p>
      <w:r>
        <w:t>Die Herstellerin schult zwei Mitarbeiter der Händlerin an zwei Tagen in Bremen zu Anschlussprüfung, Fehleraufnahme und Rücksendung. Die erste Schulung ist im Vertriebsaufbau enthalten, Reise und Unterkunft trägt die Händlerin. Eine Befugnis zur Kalibrierung entsteht erst nach gesonderter Einweisung und schriftlicher Freigabe. Technische Mitteilungen über geänderte Prüfverfahren werden dem benannten Serviceleiter übersandt.</w:t>
      </w:r>
    </w:p>
    <w:p>
      <w:pPr>
        <w:pStyle w:val="Heading1"/>
        <w:keepNext/>
        <w:spacing w:after="0"/>
      </w:pPr>
      <w:r>
        <w:t>10 Kunden- und Verkaufsdaten</w:t>
      </w:r>
    </w:p>
    <w:p>
      <w:pPr>
        <w:keepNext/>
        <w:spacing w:before="0" w:after="0" w:line="220" w:lineRule="exact"/>
        <w:rPr>
          <w:sz w:val="22"/>
          <w:szCs w:val="22"/>
        </w:rPr>
      </w:pPr>
    </w:p>
    <w:p>
      <w:r>
        <w:t>Die Händlerin übermittelt monatlich eine Liste ihrer Verkäufe mit Kundenfirma, Lieferanschrift, Ansprechpartner, geschäftlicher E-Mail-Adresse, Produkt, Seriennummer, Menge, Nettoverkaufspreis und Einsatzbereich. Die Daten sollen der Betreuung, Ersatzteilversorgung und Mengenplanung dienen. Die Herstellerin führt die Liste in ihrem Kundenverwaltungssystem. Ein Zugriff des Herstellers auf offene Angebote und noch nicht abgeschlossene Verhandlungen ist in dieser Fassung ebenfalls vorgesehen. Einzelheiten enthält der Entwurf KD-IT-01.</w:t>
      </w:r>
    </w:p>
    <w:p>
      <w:r>
        <w:t>Die Händlerin erläutert ihren Kunden die Weitergabe im Rahmen ihrer Kundenkommunikation. Nach Vertragsende erhält die Herstellerin die letzte vollständige Liste für die fortlaufende Gerätebetreuung. Eine gesonderte Vergütung für den Datenbestand ist nicht vorgesehen. Vertrauliche Informationen der jeweils anderen Partei werden nur Beschäftigten zugänglich gemacht, die sie für Einkauf, Vertrieb oder Service benötigen.</w:t>
      </w:r>
    </w:p>
    <w:p>
      <w:pPr>
        <w:pStyle w:val="Heading1"/>
        <w:keepNext/>
        <w:spacing w:after="0"/>
      </w:pPr>
      <w:r>
        <w:t>11 Dauer und vorzeitige Beendigung</w:t>
      </w:r>
    </w:p>
    <w:p>
      <w:pPr>
        <w:keepNext/>
        <w:spacing w:before="0" w:after="0" w:line="220" w:lineRule="exact"/>
        <w:rPr>
          <w:sz w:val="22"/>
          <w:szCs w:val="22"/>
        </w:rPr>
      </w:pPr>
    </w:p>
    <w:p>
      <w:pPr>
        <w:pStyle w:val="Heading2"/>
        <w:keepNext/>
        <w:spacing w:after="0"/>
      </w:pPr>
      <w:r>
        <w:t>11.1 Laufzeit</w:t>
      </w:r>
    </w:p>
    <w:p>
      <w:pPr>
        <w:keepNext/>
        <w:spacing w:before="0" w:after="0" w:line="220" w:lineRule="exact"/>
        <w:rPr>
          <w:sz w:val="22"/>
          <w:szCs w:val="22"/>
        </w:rPr>
      </w:pPr>
    </w:p>
    <w:p>
      <w:r>
        <w:t>Der Vertrag beginnt am 1. Januar 2027 und endet am 31. Dezember 2029, ohne dass es einer Kündigung bedarf. Eine Verlängerung muss bis 30. September 2029 schriftlich vereinbart werden. Die Parteien besprechen im Juni 2029 Bezugszahlen, Serviceaufwand und eine mögliche Fortsetzung. Eine ordentliche Kündigung während der festen Laufzeit ist in diesem Entwurf nicht vorgesehen.</w:t>
      </w:r>
    </w:p>
    <w:p>
      <w:pPr>
        <w:pStyle w:val="Heading2"/>
        <w:keepNext/>
        <w:spacing w:after="0"/>
      </w:pPr>
      <w:r>
        <w:t>11.2 Pflichtverletzung</w:t>
      </w:r>
    </w:p>
    <w:p>
      <w:pPr>
        <w:keepNext/>
        <w:spacing w:before="0" w:after="0" w:line="220" w:lineRule="exact"/>
        <w:rPr>
          <w:sz w:val="22"/>
          <w:szCs w:val="22"/>
        </w:rPr>
      </w:pPr>
    </w:p>
    <w:p>
      <w:r>
        <w:t>Bei wesentlicher Pflichtverletzung kann die andere Partei nach schriftlicher Benennung des Verstoßes und fruchtlosem Ablauf einer Abhilfefrist von 30 Kalendertagen vorzeitig beenden. Für ausstehende Zahlungen gilt zunächst die Nachfrist aus Ziffer 7.3; bleibt sie erfolglos, kann eine weitere Beendigungsandrohung mit zehn Kalendertagen Frist folgen. Sofortige Beendigung bleibt schweren Fällen vorbehalten, in denen eine Fortsetzung bis zum Fristablauf nicht zumutbar ist.</w:t>
      </w:r>
    </w:p>
    <w:p>
      <w:pPr>
        <w:pStyle w:val="Heading2"/>
        <w:keepNext/>
        <w:spacing w:after="0"/>
      </w:pPr>
      <w:r>
        <w:t>11.3 Auswirkungen</w:t>
      </w:r>
    </w:p>
    <w:p>
      <w:pPr>
        <w:keepNext/>
        <w:spacing w:before="0" w:after="0" w:line="220" w:lineRule="exact"/>
        <w:rPr>
          <w:sz w:val="22"/>
          <w:szCs w:val="22"/>
        </w:rPr>
      </w:pPr>
    </w:p>
    <w:p>
      <w:r>
        <w:t>Bereits bestätigte Einzelbestellungen werden ausgeführt, sofern sie nicht gesondert aufgehoben werden. Offene Forderungen bleiben bestehen. Die Händlerin stellt sich nach Vertragsende nicht mehr als exklusiver Vertriebspartner dar und entfernt entsprechende Angaben binnen zehn Arbeitstagen. Technische Unterlagen für bereits ausgelieferte Produkte darf sie zur Betreuung ihrer Kunden weiterverwenden.</w:t>
      </w:r>
    </w:p>
    <w:p>
      <w:pPr>
        <w:pStyle w:val="Heading1"/>
        <w:keepNext/>
        <w:spacing w:after="0"/>
      </w:pPr>
      <w:r>
        <w:t>12 Restbestand und Leihgeräte</w:t>
      </w:r>
    </w:p>
    <w:p>
      <w:pPr>
        <w:keepNext/>
        <w:spacing w:before="0" w:after="0" w:line="220" w:lineRule="exact"/>
        <w:rPr>
          <w:sz w:val="22"/>
          <w:szCs w:val="22"/>
        </w:rPr>
      </w:pPr>
    </w:p>
    <w:p>
      <w:pPr>
        <w:pStyle w:val="Heading2"/>
        <w:keepNext/>
        <w:spacing w:after="0"/>
      </w:pPr>
      <w:r>
        <w:t>12.1 Lagerware</w:t>
      </w:r>
    </w:p>
    <w:p>
      <w:pPr>
        <w:keepNext/>
        <w:spacing w:before="0" w:after="0" w:line="220" w:lineRule="exact"/>
        <w:rPr>
          <w:sz w:val="22"/>
          <w:szCs w:val="22"/>
        </w:rPr>
      </w:pPr>
    </w:p>
    <w:p>
      <w:r>
        <w:t>Die Herstellerin ist nach Vertragsende nicht verpflichtet, verkaufsfähige Lagerware zurückzukaufen. Die Händlerin darf den bei Vertragsende vorhandenen Bestand während sechs Monaten unter Verwendung zutreffender Produktbezeichnungen abverkaufen. Sie übermittelt binnen zehn Arbeitstagen eine Liste mit Seriennummern, Anschaffungsdatum und Einkaufspreis. Nach Ablauf der sechs Monate ist eine weitere Nutzung der Kennzeichen in einem Onlineshop nur nach Abstimmung mit der Herstellerin zulässig.</w:t>
      </w:r>
    </w:p>
    <w:p>
      <w:pPr>
        <w:pStyle w:val="Heading2"/>
        <w:keepNext/>
        <w:spacing w:after="0"/>
      </w:pPr>
      <w:r>
        <w:t>12.2 Freiwillige Rücknahme</w:t>
      </w:r>
    </w:p>
    <w:p>
      <w:pPr>
        <w:keepNext/>
        <w:spacing w:before="0" w:after="0" w:line="220" w:lineRule="exact"/>
        <w:rPr>
          <w:sz w:val="22"/>
          <w:szCs w:val="22"/>
        </w:rPr>
      </w:pPr>
    </w:p>
    <w:p>
      <w:r>
        <w:t>Die Herstellerin kann im Einzelfall ungeöffnete, unveränderte Geräte aktueller Bauart zurücknehmen. Voraussetzung sind eine schriftliche Mengenfreigabe und ein vereinbarter Rücknahmepreis vor Versand. Ein Rücknahmeverlangen allein berechtigt die Händlerin nicht, Zahlungen aus anderen Lieferungen zurückzuhalten. Die Kosten der Rückfracht werden in der jeweiligen Freigabe festgelegt.</w:t>
      </w:r>
    </w:p>
    <w:p>
      <w:pPr>
        <w:pStyle w:val="Heading2"/>
        <w:keepNext/>
        <w:spacing w:after="0"/>
      </w:pPr>
      <w:r>
        <w:t>12.3 Leihgeräte</w:t>
      </w:r>
    </w:p>
    <w:p>
      <w:pPr>
        <w:keepNext/>
        <w:spacing w:before="0" w:after="0" w:line="220" w:lineRule="exact"/>
        <w:rPr>
          <w:sz w:val="22"/>
          <w:szCs w:val="22"/>
        </w:rPr>
      </w:pPr>
    </w:p>
    <w:p>
      <w:r>
        <w:t>Geräte aus gesonderten Leihvorgängen bleiben Eigentum der Herstellerin. Sie werden mit Seriennummern gesondert erfasst und binnen 20 Kalendertagen nach Ende der Leihe zurückgegeben. Ein Leihgerät darf nicht als neuer Verkaufsbestand angeboten werden. Übliche Gebrauchsspuren aus vereinbarten Vorführungen werden im Rückgabeprotokoll beschrieben und nicht als Verkauf oder Erwerb des Geräts behandelt.</w:t>
      </w:r>
    </w:p>
    <w:p>
      <w:pPr>
        <w:pStyle w:val="Heading1"/>
        <w:keepNext/>
        <w:spacing w:after="0"/>
      </w:pPr>
      <w:r>
        <w:t>13 Haftung und Produkthinweise</w:t>
      </w:r>
    </w:p>
    <w:p>
      <w:pPr>
        <w:keepNext/>
        <w:spacing w:before="0" w:after="0" w:line="220" w:lineRule="exact"/>
        <w:rPr>
          <w:sz w:val="22"/>
          <w:szCs w:val="22"/>
        </w:rPr>
      </w:pPr>
    </w:p>
    <w:p>
      <w:r>
        <w:t>Für vorsätzlich oder grob fahrlässig verursachte Schäden und schuldhafte Verletzungen von Leben, Körper oder Gesundheit haften die Parteien unbeschränkt. Bei leichter Fahrlässigkeit wird die Haftung für wesentliche Vertragspflichten auf vorhersehbare Schäden und auf den Nettowarenwert der Lieferungen der letzten zwölf Monate begrenzt. In den ersten zwölf Monaten tritt ein Höchstbetrag von 180.000,00 EUR an diese Stelle. Zwingende Haftung bleibt unberührt. Die Händlerin darf sicherheitsbezogene Informationen nicht verändern und informiert die Herstellerin unverzüglich über wiederholte gleichartige Geräteausfälle.</w:t>
      </w:r>
    </w:p>
    <w:p>
      <w:r>
        <w:t>Rückruf- oder Korrekturmaßnahmen stimmen die Parteien anhand der betroffenen Seriennummern ab. Eine Kostenaufteilung erfolgt nach Ursache und Verantwortungsbeitrag. Die Händlerin bewahrt Zuordnungen ausgelieferter Seriennummern zu Kunden für zehn Jahre auf. Eine pauschale Übernahme sämtlicher Rückrufkosten durch die Händlerin wird nicht vereinbart.</w:t>
      </w:r>
    </w:p>
    <w:p>
      <w:pPr>
        <w:pStyle w:val="Heading1"/>
        <w:keepNext/>
        <w:spacing w:after="0"/>
      </w:pPr>
      <w:r>
        <w:t>14 Vertraulichkeit und Übertragung</w:t>
      </w:r>
    </w:p>
    <w:p>
      <w:pPr>
        <w:keepNext/>
        <w:spacing w:before="0" w:after="0" w:line="220" w:lineRule="exact"/>
        <w:rPr>
          <w:sz w:val="22"/>
          <w:szCs w:val="22"/>
        </w:rPr>
      </w:pPr>
    </w:p>
    <w:p>
      <w:r>
        <w:t>Preise, unveröffentlichte Produktinformationen und die ausgetauschten Kundendaten werden vertraulich behandelt. Diese Pflicht gilt drei Jahre nach Vertragsende fort; technische Geheimnisse bleiben geschützt, solange sie nicht allgemein zugänglich sind. Eine Übertragung des gesamten Vertrags auf ein anderes Unternehmen bedarf der vorherigen Zustimmung der anderen Partei. Die Einschaltung eines eigenen Logistikdienstleisters ist gestattet, wenn dessen Zugriff auf Daten auf Versand und Lagerung begrenzt wird.</w:t>
      </w:r>
    </w:p>
    <w:p>
      <w:pPr>
        <w:pStyle w:val="Heading1"/>
        <w:keepNext/>
        <w:spacing w:after="0"/>
      </w:pPr>
      <w:r>
        <w:t>15 Recht, Sprache und Gerichtsstand</w:t>
      </w:r>
    </w:p>
    <w:p>
      <w:pPr>
        <w:keepNext/>
        <w:spacing w:before="0" w:after="0" w:line="220" w:lineRule="exact"/>
        <w:rPr>
          <w:sz w:val="22"/>
          <w:szCs w:val="22"/>
        </w:rPr>
      </w:pPr>
    </w:p>
    <w:p>
      <w:r>
        <w:t>Die Herstellerin schlägt deutsches Recht unter Ausschluss des Übereinkommens über Verträge über den internationalen Warenkauf vor. Ausschließlicher Gerichtsstand soll Bremen sein. Maßgebliche Vertragssprache soll Deutsch sein. Diese Festlegungen sind Bestandteil des Herstellerentwurfs; eine Zustimmung der Händlerin zu Recht, Gericht oder Sprache liegt noch nicht vor. Die Parteien wollen eine endgültige Sprachfassung gemeinsam freigeben.</w:t>
      </w:r>
    </w:p>
    <w:p>
      <w:pPr>
        <w:pStyle w:val="Heading1"/>
        <w:keepNext/>
        <w:spacing w:after="0"/>
      </w:pPr>
      <w:r>
        <w:t>16 Abschluss</w:t>
      </w:r>
    </w:p>
    <w:p>
      <w:pPr>
        <w:keepNext/>
        <w:spacing w:before="0" w:after="0" w:line="220" w:lineRule="exact"/>
        <w:rPr>
          <w:sz w:val="22"/>
          <w:szCs w:val="22"/>
        </w:rPr>
      </w:pPr>
    </w:p>
    <w:p>
      <w:pPr>
        <w:keepNext/>
        <w:keepLines/>
      </w:pPr>
      <w:r>
        <w:t>Der Vertrag wird erst durch Unterzeichnung beider Parteien verbindlich. Änderungen bedürfen einer von beiden Geschäftsführungen bestätigten Erklärung. Einkaufsbedingungen in einer späteren Bestellung werden nur Vertragsbestandteil, wenn die Herstellerin ihnen ausdrücklich zustimmt. Bei nicht durchführbaren Einzelregelungen besprechen die Parteien eine ihrem wirtschaftlichen Ziel entsprechende Ersatzregelung. Die übrigen Vereinbarungen bleiben bestehen.</w:t>
      </w:r>
    </w:p>
    <w:p>
      <w:pPr>
        <w:keepNext/>
        <w:keepLines/>
      </w:pPr>
      <w:r>
        <w:t>Anneke Martens für Weserblick Messtechnik GmbH: Unterzeichnung steht aus.</w:t>
      </w:r>
    </w:p>
    <w:p>
      <w:r>
        <w:t>Giulia Bellini für Luminara Strumenti S.r.l.: Unterzeichnung steht aus.</w:t>
      </w:r>
    </w:p>
    <w:sectPr w:rsidR="00FC693F" w:rsidRPr="0006063C" w:rsidSect="00034616">
      <w:headerReference w:type="default" r:id="rId9"/>
      <w:footerReference w:type="default" r:id="rId10"/>
      <w:pgSz w:w="11906" w:h="16838"/>
      <w:pgMar w:top="1191" w:right="1247" w:bottom="1077" w:left="1247"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WM-IT V1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Weserblick Messtechnik GmbH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80" w:line="240"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80" w:line="240"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0"/>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60" w:after="0"/>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0" w:lineRule="auto"/>
      <w:contextualSpacing/>
    </w:pPr>
    <w:rPr>
      <w:rFonts w:cstheme="majorBidi" w:ascii="Times New Roman" w:hAnsi="Times New Roman" w:eastAsia="Times New Roman" w:cs="Times New Roman"/>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Vertriebsvertrag Italien</dc:title>
  <dc:subject>WM-IT V1 | 20. August 2026 | Herstellerentwurf, nicht unterzeichnet</dc:subject>
  <dc:creator>Weserblick Messtechnik GmbH</dc:creator>
  <cp:keywords/>
  <dc:description>generated by python-docx</dc:description>
  <cp:lastModifiedBy/>
  <cp:revision>1</cp:revision>
  <dcterms:created xsi:type="dcterms:W3CDTF">2026-09-22T08:00:00Z</dcterms:created>
  <dcterms:modified xsi:type="dcterms:W3CDTF">2026-09-22T08:00:00Z</dcterms:modified>
  <cp:category/>
  <dc:language>de-DE</dc:language>
</cp:coreProperties>
</file>