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Steinbogen Wohnen GmbH</w:t>
      </w:r>
    </w:p>
    <w:p>
      <w:r>
        <w:t>Wohnhof Am Steinbogen 18, 31134 Hildesheim</w:t>
        <w:br/>
        <w:t>projekt@steinbogen-wohnen.example</w:t>
      </w:r>
    </w:p>
    <w:p>
      <w:r>
        <w:t>Konturfeld Architektur PartG mbB</w:t>
        <w:br/>
        <w:t>Planerhof 12, 31134 Hildesheim</w:t>
      </w:r>
    </w:p>
    <w:p>
      <w:r>
        <w:t>Hildesheim, 19.10.2026 · SW-HI-26-08</w:t>
      </w:r>
    </w:p>
    <w:p>
      <w:pPr>
        <w:pStyle w:val="Title"/>
      </w:pPr>
      <w:r>
        <w:t>Architektenvertrag Wohnhof Am Steinbogen</w:t>
      </w:r>
    </w:p>
    <w:p>
      <w:r>
        <w:t>Die Steinbogen Wohnen GmbH als Auftraggeberin und das in dieser Urkunde bezeichnete Architekturbüro als Auftragnehmer schließen für den Neubau des Achtfamilienhauses am Wohnhof Am Steinbogen 18 in Hildesheim folgenden Vertrag. Beide Parteien handeln unternehmerisch. Der Vertrag wird durch Austausch dieser inhaltlich übereinstimmenden Erklärungen in Textform geschlossen.</w:t>
      </w:r>
    </w:p>
    <w:p>
      <w:pPr>
        <w:pStyle w:val="Heading1"/>
      </w:pPr>
      <w:r>
        <w:t>1 Gegenstand und Planungsgrundlagen</w:t>
      </w:r>
    </w:p>
    <w:p>
      <w:r>
        <w:t>Der Auftragnehmer übernimmt die Objektplanung Gebäude und Innenräume für acht Mietwohnungen mit insgesamt 600 m² geplanter Wohnfläche, ohne Keller, mit drei oberirdischen Geschossen und einem Aufzug. Der Vertragsumfang orientiert sich an den Grundleistungen der Leistungsphasen 1 bis 9 gemäß Anlage 10 Nummer 10.1 HOAI, soweit diese für das bezeichnete Objekt tatsächlich erforderlich und nach Nummer 2 abgerufen sind. Das Bedarfsprogramm vom 12. Oktober 2026 sowie die nachfolgend schriftlich bestätigten Planungsentscheidungen bestimmen die vereinbarten Planungsziele.</w:t>
      </w:r>
    </w:p>
    <w:p>
      <w:r>
        <w:t>Die anfängliche Investitionsobergrenze von 3.650.000,00 EUR brutto umfasst Grundstück, Planung, Errichtung, Erwerbsnebenkosten und Finanzierung. Der Auftragnehmer erfasst die ihm mitgeteilten Kostenanteile, kennzeichnet nicht von ihm fachlich ermittelte Ansätze und meldet absehbare Überschreitungen mit Handlungsoptionen unverzüglich. Er schuldet keine Finanzierungszusage, keinen Vermietungserfolg und keine Garantie für das Preisverhalten der Bauunternehmen.</w:t>
      </w:r>
    </w:p>
    <w:p>
      <w:pPr>
        <w:pStyle w:val="Heading1"/>
      </w:pPr>
      <w:r>
        <w:t>2 Stufenweise Beauftragung</w:t>
      </w:r>
    </w:p>
    <w:p>
      <w:r>
        <w:t>Mit Abschluss dieses Vertrags werden die Leistungsphasen 1 und 2 verbindlich abgerufen. Die Leistungsphasen 3 und 4 bilden die zweite Stufe; die Leistungsphasen 5 bis 7 bilden die dritte Stufe; die Leistungsphase 8 bildet die vierte und die Leistungsphase 9 die fünfte Stufe. Jeder weitere Abruf erfolgt durch eine Erklärung der Auftraggeberin in Textform. Ein Anspruch auf Abruf weiterer Stufen besteht nicht. Die Auftragnehmerin beginnt eine nicht abgerufene Stufe erst nach dem entsprechenden Abruf. Die Anrede Auftragnehmer in dieser Urkunde bezeichnet das Architekturbüro unabhängig von der jeweils handelnden Person.</w:t>
      </w:r>
    </w:p>
    <w:p>
      <w:r>
        <w:t>Die Bearbeitungsfristen werden bei jedem Abruf anhand des dann bekannten Genehmigungs- und Vergabestands festgelegt. Bereits begonnene beauftragte Leistungen sind sachgerecht abzuschließen oder nach Weisung geordnet zu übergeben. Gesetzliche Kündigungsrechte und die hierfür geltenden Vergütungsfolgen bleiben unberührt.</w:t>
      </w:r>
    </w:p>
    <w:p>
      <w:pPr>
        <w:pStyle w:val="Heading1"/>
      </w:pPr>
      <w:r>
        <w:t>3 Honorar und Abrechnung</w:t>
      </w:r>
    </w:p>
    <w:p>
      <w:r>
        <w:t>Für sämtliche vollständig erbrachten und abgerufenen Vertragsleistungen der Leistungsphasen 1 bis 9 wird ein Pauschalhonorar von 145.000,00 EUR netto zuzüglich gesetzlicher Umsatzsteuer vereinbart. Bei 19 Prozent Umsatzsteuer ergibt dies 172.550,00 EUR brutto. Das Pauschalhonorar umfasst übliche Nebenkosten, örtliche Besprechungen und die vereinbarte digitale Planübergabe. Eine gesonderte Nebenkostenpauschale fällt nicht an.</w:t>
      </w:r>
    </w:p>
    <w:p>
      <w:r>
        <w:t>Zur Zuordnung auf die Abrufstufen und für nachvollziehbare Abschlagsrechnungen entfallen 2.900,00 EUR netto auf Leistungsphase 1, 10.150,00 EUR auf Leistungsphase 2, 21.750,00 EUR auf Leistungsphase 3, 4.350,00 EUR auf Leistungsphase 4, 36.250,00 EUR auf Leistungsphase 5, 14.500,00 EUR auf Leistungsphase 6, 5.800,00 EUR auf Leistungsphase 7, 46.400,00 EUR auf Leistungsphase 8 und 2.900,00 EUR auf Leistungsphase 9. Die Verteilung begründet keinen Zahlungsanspruch für nicht erbrachte oder nicht abgerufene Leistungen.</w:t>
      </w:r>
    </w:p>
    <w:p>
      <w:r>
        <w:t>Abschläge dürfen entsprechend dem nachgewiesenen Wert vertragsgemäß erbrachter Leistungen verlangt werden. Jede Rechnung weist Leistungsstand, bereits berechnete Beträge, Umsatzsteuer und eingegangene Zahlungen aus. Eine Zahlung innerhalb von 21 Kalendertagen nach Eingang einer prüffähigen und berechtigten Rechnung wird vereinbart; gesetzlich zwingende Fälligkeitsvoraussetzungen bleiben zu beachten. Die Schlussrechnung setzt die gesetzlich erforderliche Abnahme und eine prüffähige Schlussrechnung voraus. Pauschalhonorar und Stufenteilbeträge ändern sich nicht allein durch eine Veränderung der anrechenbaren Kosten.</w:t>
      </w:r>
    </w:p>
    <w:p>
      <w:pPr>
        <w:pStyle w:val="Heading1"/>
      </w:pPr>
      <w:r>
        <w:t>4 Fachplanung und zusätzliche Leistungen</w:t>
      </w:r>
    </w:p>
    <w:p>
      <w:r>
        <w:t>Tragwerksplanung, technische Ausrüstung, Baugrunduntersuchung, Vermessung, gesonderte bauphysikalische Nachweise und fachrechtliche Anträge außerhalb der Objektplanung beauftragt die Auftraggeberin unmittelbar. Der Auftragnehmer benennt rechtzeitig den fachlichen Bedarf, koordiniert die vereinbarten Schnittstellen und berücksichtigt freigegebene Fachbeiträge. Die Fachplaner bleiben für ihre eigenen Leistungen verantwortlich.</w:t>
      </w:r>
    </w:p>
    <w:p>
      <w:r>
        <w:t>Besondere Leistungen, zusätzliche Varianten nach abgeschlossener Entscheidung, Änderungen bereits freigegebener Planungsziele und wiederholte Leistungen sind vor ihrer Ausführung nach Gegenstand, zeitlicher Folge und Vergütung in Textform abzustimmen. Eine bloße Teilnahme an einer Besprechung oder der Eingang eines Änderungswunsches gilt nicht als gesonderte Beauftragung. Soweit gesetzliche Änderungs- und Vergütungsregelungen unmittelbar eingreifen, bleiben sie unberührt; die Beteiligten dokumentieren den Anlass und den Leistungsumfang unverzüglich.</w:t>
      </w:r>
    </w:p>
    <w:p>
      <w:pPr>
        <w:pStyle w:val="Heading1"/>
      </w:pPr>
      <w:r>
        <w:t>5 Mitwirkung und Planfreigaben</w:t>
      </w:r>
    </w:p>
    <w:p>
      <w:r>
        <w:t>Die Auftraggeberin stellt die verfügbaren Grundstücks- und Finanzierungsangaben vollständig zur Verfügung und trifft angeforderte Entscheidungen innerhalb einer im Einzelfall angemessenen Frist. Der Auftragnehmer benennt die benötigte Entscheidung, den zugehörigen Planstand und die absehbaren Termin- und Kostenfolgen einer Verzögerung. Freigaben der Auftraggeberin ersetzen weder die geschuldete fachliche Prüfung noch behördliche Entscheidungen.</w:t>
      </w:r>
    </w:p>
    <w:p>
      <w:r>
        <w:t>Pläne werden mit eindeutiger Nummer, Revisionsstand und Ausgabedatum übergeben. Überholte Planstände werden in einer Änderungsliste gekennzeichnet. Baustellenfreigaben beziehen sich ausschließlich auf die bezeichneten Bauteile und den freigegebenen Umfang; eine noch offene Fachplanung ist ausdrücklich auszuweisen.</w:t>
      </w:r>
    </w:p>
    <w:p>
      <w:pPr>
        <w:pStyle w:val="Heading1"/>
      </w:pPr>
      <w:r>
        <w:t>6 Vergabe und rechtliche Beratung</w:t>
      </w:r>
    </w:p>
    <w:p>
      <w:r>
        <w:t>Der Auftragnehmer bereitet technische Leistungsbeschreibungen vor, prüft Angebote fachlich und wirtschaftlich und wirkt am Zusammenstellen der Vertragsunterlagen mit. Er verwendet dabei die von der Auftraggeberin rechtlich freigegebenen Vertragsgrundlagen. Er erhält keine Vollmacht zum Abschluss oder zur Änderung von Bauverträgen und keine Vollmacht zur Erklärung der Abnahme, zum Vergleich oder zum Forderungsverzicht.</w:t>
      </w:r>
    </w:p>
    <w:p>
      <w:r>
        <w:t>Eine eigenständige, auf die Interessen der Auftraggeberin zugeschnittene rechtliche Gestaltung streitiger oder risikoverteilender Vertragsklauseln ist nicht als Leistung des Architekturbüros vereinbart. Hierzu beauftragt die Auftraggeberin bei Bedarf unmittelbar eine hierfür befugte Rechtsberatung. Das Architekturbüro liefert die technischen und wirtschaftlichen Tatsachen und stimmt die Unterlagen mit dieser Beratung ab. Eine technische Freigabe darf nicht als rechtliche Prüfung bezeichnet werden.</w:t>
      </w:r>
    </w:p>
    <w:p>
      <w:pPr>
        <w:pStyle w:val="Heading1"/>
      </w:pPr>
      <w:r>
        <w:t>7 Abnahme und Dokumentation</w:t>
      </w:r>
    </w:p>
    <w:p>
      <w:r>
        <w:t>Die Abnahme von Bauleistungen erklärt ausschließlich die Auftraggeberin oder eine hierzu im Einzelfall ausdrücklich bevollmächtigte Person. Der Auftragnehmer bereitet im beauftragten Umfang Abnahmen vor, stellt festgestellte Mängel zusammen und dokumentiert die Erledigung. Die Abnahme seiner eigenen Planungs- und Überwachungsleistungen wird von der Bauabnahme getrennt behandelt. Gesetzliche Ansprüche auf Teilabnahme bleiben unberührt.</w:t>
      </w:r>
    </w:p>
    <w:p>
      <w:r>
        <w:t>Die Leistungsphase 9 umfasst die im beauftragten Leistungsbild geschuldete fachliche Bewertung innerhalb der dafür maßgeblichen Zeiträume, die erforderliche Objektbegehung vor Ablauf der einschlägigen Mängelanspruchsfristen und die Mitwirkung bei der Freigabe von Sicherheiten. Eine fortlaufende Überwachung späterer Mängelbeseitigungsarbeiten wird dadurch nicht stillschweigend zusätzlich beauftragt. Die Übergabe erfolgt mit Planverzeichnis, Revisionsunterlagen, Prüfprotokollen, Kontaktdaten der Firmen und einer Fristenübersicht.</w:t>
      </w:r>
    </w:p>
    <w:p>
      <w:pPr>
        <w:pStyle w:val="Heading1"/>
      </w:pPr>
      <w:r>
        <w:t>8 Schlussbestimmungen</w:t>
      </w:r>
    </w:p>
    <w:p>
      <w:r>
        <w:t>Für Haftung, Mängelrechte, Verjährung und Kündigung gelten die gesetzlichen Bestimmungen, soweit dieser Vertrag keine wirksame speziellere Vereinbarung enthält. Eine pauschale Haftungsfreizeichnung wird nicht vereinbart. Die Auftraggeberin erhält nach Zahlung der geschuldeten Vergütung die zur vertragsgemäßen Errichtung, Nutzung, Unterhaltung und Änderung dieses konkreten Gebäudes erforderlichen Nutzungsrechte an den übergebenen Planungsunterlagen. Weitergehende urheberrechtliche Befugnisse verbleiben beim Berechtigten.</w:t>
      </w:r>
    </w:p>
    <w:p>
      <w:r>
        <w:t>Die Parteien geben ihre Annahmeerklärungen am 19. Oktober 2026 in dieser gemeinsamen Vertragsfassung ab. Für die Steinbogen Wohnen GmbH: Maren Birk, Geschäftsführerin, erklärt die Annahme sämtlicher vorstehender Vereinbarungen. Für Konturfeld Architektur PartG mbB: Nora Feld, Architektin, erklärt die Annahme sämtlicher vorstehender Vereinbarungen. Die Namen schließen die jeweiligen Erklärungen in Textform ab.</w:t>
      </w:r>
    </w:p>
    <w:p>
      <w:r>
        <w:t>gez. Maren Birk, Geschäftsführerin</w:t>
      </w:r>
    </w:p>
    <w:p>
      <w:r>
        <w:t>Anlagen: keine</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6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6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6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6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6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6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6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6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6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6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6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6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6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6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6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6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6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6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6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6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6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6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6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6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6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Architektenvertrag Wohnhof Am Steinbogen</dc:title>
  <dc:subject/>
  <dc:creator>Klotzkette</dc:creator>
  <cp:keywords/>
  <dc:description>generated by python-docx</dc:description>
  <cp:lastModifiedBy>Klotzkette</cp:lastModifiedBy>
  <cp:revision>1</cp:revision>
  <dcterms:created xsi:type="dcterms:W3CDTF">2026-10-19T00:00:00Z</dcterms:created>
  <dcterms:modified xsi:type="dcterms:W3CDTF">2026-10-19T00:00:00Z</dcterms:modified>
  <cp:category/>
  <dc:language>de-DE</dc:language>
</cp:coreProperties>
</file>