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20.08.2027 · SW-HI-26-08</w:t>
      </w:r>
    </w:p>
    <w:p>
      <w:pPr>
        <w:pStyle w:val="Title"/>
      </w:pPr>
      <w:r>
        <w:t>Koordinierung der Ausführungsplanung</w:t>
      </w:r>
    </w:p>
    <w:p>
      <w:r>
        <w:t>In der Planrunde vom 20. August 2027 wurden die Ausführungsdetails für Rohbau, Hülle und technische Ausrüstung zusammengeführt. Grundlage sind die Genehmigung vom 16. Juli 2027 und die abgerufene dritte Vertragsstufe. Die Ergebnisse dienen der Bereinigung der Leistungsverzeichnisse; eine Unternehmervariante ist damit noch nicht genehmigt.</w:t>
      </w:r>
    </w:p>
    <w:p>
      <w:pPr>
        <w:pStyle w:val="Heading1"/>
      </w:pPr>
      <w:r>
        <w:t>1 Schwellenloser Zugang und Sockel</w:t>
      </w:r>
    </w:p>
    <w:p>
      <w:r>
        <w:t>Die Außentür zum Hauseingang erhält eine schwellenlose Ausbildung mit unmittelbar vorgelagerter Entwässerungsrinne. Die Außenfläche fällt vom Gebäude weg; eine Aufkantung quer über den Zugang ist nicht zulässig. Abdichtung, Anschlussflansch und Entwässerung sind im Detail AP02 gemeinsam zu beschreiben. Die bisherige Standardposition der Fassadenfirma mit einer 4 cm hohen Türschwelle wird nicht in das Leistungsverzeichnis übernommen.</w:t>
      </w:r>
    </w:p>
    <w:p>
      <w:pPr>
        <w:pStyle w:val="Heading1"/>
      </w:pPr>
      <w:r>
        <w:t>2 Sanitärschacht und Rohbau</w:t>
      </w:r>
    </w:p>
    <w:p>
      <w:r>
        <w:t>Die TGA legt den revidierten Schacht im Bereich der Wohnungen WE 02 und WE 05 vor. Die Durchbrüche bleiben innerhalb der durch die Tragwerksplanung bestätigten Öffnungszone. Ein zusätzlicher Kernbohrungswunsch im Treppenraum ist zurückgestellt. Durchführungen in raumabschließenden Bauteilen sind nach dem abgestimmten Abschottungskonzept auszuführen und vor Verschluss zu dokumentieren.</w:t>
      </w:r>
    </w:p>
    <w:p>
      <w:pPr>
        <w:pStyle w:val="Heading1"/>
      </w:pPr>
      <w:r>
        <w:t>3 Aufzug und Türen</w:t>
      </w:r>
    </w:p>
    <w:p>
      <w:r>
        <w:t>Für den Aufzug werden drei Halte, 1,10 m × 1,40 m nutzbare Kabine und 0,90 m lichte Türbreite ausgeschrieben. Schachtmaße, Unterfahrt, Überfahrt und Befestigungskräfte sind aus den Herstellerangaben vor Rohbauabschluss abzugleichen. Das geforderte lichte Maß darf nicht mit dem Rohbaumaß verwechselt werden. Die Wohnungseingangstüren erhalten ebenfalls 0,90 m lichte Durchgangsbreite; Beschläge und Türschließer sind auf die vorgesehenen Nutzungsmöglichkeiten abzustimmen.</w:t>
      </w:r>
    </w:p>
    <w:p>
      <w:pPr>
        <w:pStyle w:val="Heading1"/>
      </w:pPr>
      <w:r>
        <w:t>4 Noch offene Punkte</w:t>
      </w:r>
    </w:p>
    <w:p>
      <w:r>
        <w:t>Der endgültige Wärmepumpentyp und die Schallberechnung liegen noch nicht vor. Die TGA liefert die Unterlagen bis zum 3. September. Für die Dachabdichtung fehlen die freigegebenen Anschlüsse der Photovoltaikunterkonstruktion. Die Objektplanung lässt die entsprechenden Positionen bis zum Eingang dieser Beiträge als nicht zur Bestellung freigegeben kennzeichnen. Die Bauherrin hat keiner Ausführung auf Grundlage eines bloßen Katalogdetails zugestimmt.</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Koordinierung der Ausführungsplanung</dc:title>
  <dc:subject/>
  <dc:creator>Klotzkette</dc:creator>
  <cp:keywords/>
  <dc:description>generated by python-docx</dc:description>
  <cp:lastModifiedBy>Klotzkette</cp:lastModifiedBy>
  <cp:revision>1</cp:revision>
  <dcterms:created xsi:type="dcterms:W3CDTF">2027-08-20T00:00:00Z</dcterms:created>
  <dcterms:modified xsi:type="dcterms:W3CDTF">2027-08-20T00:00:00Z</dcterms:modified>
  <cp:category/>
  <dc:language>de-DE</dc:language>
</cp:coreProperties>
</file>