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Konturfeld Architektur PartG mbB</w:t>
      </w:r>
    </w:p>
    <w:p>
      <w:r>
        <w:t>Planerhof 12, 31134 Hildesheim</w:t>
        <w:br/>
        <w:t>projekt@konturfeld.example</w:t>
      </w:r>
    </w:p>
    <w:p>
      <w:r>
        <w:t>Steinbogen Wohnen GmbH</w:t>
        <w:br/>
        <w:t>Wohnhof Am Steinbogen 18, 31134 Hildesheim</w:t>
      </w:r>
    </w:p>
    <w:p>
      <w:r>
        <w:t>Hildesheim, 10.11.2027 · SW-HI-26-08</w:t>
      </w:r>
    </w:p>
    <w:p>
      <w:pPr>
        <w:pStyle w:val="Title"/>
      </w:pPr>
      <w:r>
        <w:t>Vergabevorschlag und dokumentierte Entscheidung</w:t>
      </w:r>
    </w:p>
    <w:p>
      <w:r>
        <w:t>Wir empfehlen die Vergabe der sieben Lose an die in der folgenden Tabelle genannten Unternehmen. Die bauherrenseitige Entscheidung ist am 10.11.2027 im Beisein von Maren Birk, Nora Feld und Rechtsanwalt Dr. Felix Groth protokolliert worden. Die fachliche Angebotsprüfung wurde durch Architektur, Tragwerks- und TGA-Planung jeweils für den eigenen Leistungsbereich ergänzt.</w:t>
      </w:r>
    </w:p>
    <w:tbl>
      <w:tblPr>
        <w:tblStyle w:val="TableGrid"/>
        <w:tblW w:type="auto" w:w="0"/>
        <w:tblLook w:firstColumn="1" w:firstRow="1" w:lastColumn="0" w:lastRow="0" w:noHBand="0" w:noVBand="1" w:val="04A0"/>
      </w:tblPr>
      <w:tblGrid>
        <w:gridCol w:w="3289"/>
        <w:gridCol w:w="3289"/>
        <w:gridCol w:w="3289"/>
      </w:tblGrid>
      <w:tr>
        <w:trPr>
          <w:cantSplit/>
          <w:tblHeader/>
        </w:trPr>
        <w:tc>
          <w:tcPr>
            <w:tcW w:type="dxa" w:w="3289"/>
          </w:tcPr>
          <w:p>
            <w:r>
              <w:rPr>
                <w:b/>
                <w:sz w:val="20"/>
              </w:rPr>
              <w:t>Los</w:t>
            </w:r>
          </w:p>
        </w:tc>
        <w:tc>
          <w:tcPr>
            <w:tcW w:type="dxa" w:w="3289"/>
          </w:tcPr>
          <w:p>
            <w:r>
              <w:rPr>
                <w:b/>
                <w:sz w:val="20"/>
              </w:rPr>
              <w:t>Auftragnehmer</w:t>
            </w:r>
          </w:p>
        </w:tc>
        <w:tc>
          <w:tcPr>
            <w:tcW w:type="dxa" w:w="3289"/>
          </w:tcPr>
          <w:p>
            <w:r>
              <w:rPr>
                <w:b/>
                <w:sz w:val="20"/>
              </w:rPr>
              <w:t>Netto EUR</w:t>
            </w:r>
          </w:p>
        </w:tc>
      </w:tr>
      <w:tr>
        <w:trPr>
          <w:cantSplit/>
        </w:trPr>
        <w:tc>
          <w:tcPr>
            <w:tcW w:type="dxa" w:w="3289"/>
          </w:tcPr>
          <w:p>
            <w:r>
              <w:rPr>
                <w:b w:val="0"/>
                <w:sz w:val="20"/>
              </w:rPr>
              <w:t>Erdarbeiten und Rohbau</w:t>
            </w:r>
          </w:p>
        </w:tc>
        <w:tc>
          <w:tcPr>
            <w:tcW w:type="dxa" w:w="3289"/>
          </w:tcPr>
          <w:p>
            <w:r>
              <w:rPr>
                <w:b w:val="0"/>
                <w:sz w:val="20"/>
              </w:rPr>
              <w:t>Steinwerk Hochbau GmbH</w:t>
            </w:r>
          </w:p>
        </w:tc>
        <w:tc>
          <w:tcPr>
            <w:tcW w:type="dxa" w:w="3289"/>
          </w:tcPr>
          <w:p>
            <w:r>
              <w:rPr>
                <w:b w:val="0"/>
                <w:sz w:val="20"/>
              </w:rPr>
              <w:t>650.000,00</w:t>
            </w:r>
          </w:p>
        </w:tc>
      </w:tr>
      <w:tr>
        <w:trPr>
          <w:cantSplit/>
        </w:trPr>
        <w:tc>
          <w:tcPr>
            <w:tcW w:type="dxa" w:w="3289"/>
          </w:tcPr>
          <w:p>
            <w:r>
              <w:rPr>
                <w:b w:val="0"/>
                <w:sz w:val="20"/>
              </w:rPr>
              <w:t>Dach Fassade und Fenster</w:t>
            </w:r>
          </w:p>
        </w:tc>
        <w:tc>
          <w:tcPr>
            <w:tcW w:type="dxa" w:w="3289"/>
          </w:tcPr>
          <w:p>
            <w:r>
              <w:rPr>
                <w:b w:val="0"/>
                <w:sz w:val="20"/>
              </w:rPr>
              <w:t>Dachraum Gebäudehülle GmbH</w:t>
            </w:r>
          </w:p>
        </w:tc>
        <w:tc>
          <w:tcPr>
            <w:tcW w:type="dxa" w:w="3289"/>
          </w:tcPr>
          <w:p>
            <w:r>
              <w:rPr>
                <w:b w:val="0"/>
                <w:sz w:val="20"/>
              </w:rPr>
              <w:t>440.000,00</w:t>
            </w:r>
          </w:p>
        </w:tc>
      </w:tr>
      <w:tr>
        <w:trPr>
          <w:cantSplit/>
        </w:trPr>
        <w:tc>
          <w:tcPr>
            <w:tcW w:type="dxa" w:w="3289"/>
          </w:tcPr>
          <w:p>
            <w:r>
              <w:rPr>
                <w:b w:val="0"/>
                <w:sz w:val="20"/>
              </w:rPr>
              <w:t>Heizung Lüftung und Sanitär</w:t>
            </w:r>
          </w:p>
        </w:tc>
        <w:tc>
          <w:tcPr>
            <w:tcW w:type="dxa" w:w="3289"/>
          </w:tcPr>
          <w:p>
            <w:r>
              <w:rPr>
                <w:b w:val="0"/>
                <w:sz w:val="20"/>
              </w:rPr>
              <w:t>Wärmefluss Haustechnik GmbH</w:t>
            </w:r>
          </w:p>
        </w:tc>
        <w:tc>
          <w:tcPr>
            <w:tcW w:type="dxa" w:w="3289"/>
          </w:tcPr>
          <w:p>
            <w:r>
              <w:rPr>
                <w:b w:val="0"/>
                <w:sz w:val="20"/>
              </w:rPr>
              <w:t>360.000,00</w:t>
            </w:r>
          </w:p>
        </w:tc>
      </w:tr>
      <w:tr>
        <w:trPr>
          <w:cantSplit/>
        </w:trPr>
        <w:tc>
          <w:tcPr>
            <w:tcW w:type="dxa" w:w="3289"/>
          </w:tcPr>
          <w:p>
            <w:r>
              <w:rPr>
                <w:b w:val="0"/>
                <w:sz w:val="20"/>
              </w:rPr>
              <w:t>Elektrotechnik Photovoltaik und Ladeinfrastruktur</w:t>
            </w:r>
          </w:p>
        </w:tc>
        <w:tc>
          <w:tcPr>
            <w:tcW w:type="dxa" w:w="3289"/>
          </w:tcPr>
          <w:p>
            <w:r>
              <w:rPr>
                <w:b w:val="0"/>
                <w:sz w:val="20"/>
              </w:rPr>
              <w:t>Lichtkreis Elektro GmbH</w:t>
            </w:r>
          </w:p>
        </w:tc>
        <w:tc>
          <w:tcPr>
            <w:tcW w:type="dxa" w:w="3289"/>
          </w:tcPr>
          <w:p>
            <w:r>
              <w:rPr>
                <w:b w:val="0"/>
                <w:sz w:val="20"/>
              </w:rPr>
              <w:t>150.000,00</w:t>
            </w:r>
          </w:p>
        </w:tc>
      </w:tr>
      <w:tr>
        <w:trPr>
          <w:cantSplit/>
        </w:trPr>
        <w:tc>
          <w:tcPr>
            <w:tcW w:type="dxa" w:w="3289"/>
          </w:tcPr>
          <w:p>
            <w:r>
              <w:rPr>
                <w:b w:val="0"/>
                <w:sz w:val="20"/>
              </w:rPr>
              <w:t>Innenausbau und Bodenbeläge</w:t>
            </w:r>
          </w:p>
        </w:tc>
        <w:tc>
          <w:tcPr>
            <w:tcW w:type="dxa" w:w="3289"/>
          </w:tcPr>
          <w:p>
            <w:r>
              <w:rPr>
                <w:b w:val="0"/>
                <w:sz w:val="20"/>
              </w:rPr>
              <w:t>Innenraum Ausbau GmbH</w:t>
            </w:r>
          </w:p>
        </w:tc>
        <w:tc>
          <w:tcPr>
            <w:tcW w:type="dxa" w:w="3289"/>
          </w:tcPr>
          <w:p>
            <w:r>
              <w:rPr>
                <w:b w:val="0"/>
                <w:sz w:val="20"/>
              </w:rPr>
              <w:t>300.000,00</w:t>
            </w:r>
          </w:p>
        </w:tc>
      </w:tr>
      <w:tr>
        <w:trPr>
          <w:cantSplit/>
        </w:trPr>
        <w:tc>
          <w:tcPr>
            <w:tcW w:type="dxa" w:w="3289"/>
          </w:tcPr>
          <w:p>
            <w:r>
              <w:rPr>
                <w:b w:val="0"/>
                <w:sz w:val="20"/>
              </w:rPr>
              <w:t>Aufzuganlage</w:t>
            </w:r>
          </w:p>
        </w:tc>
        <w:tc>
          <w:tcPr>
            <w:tcW w:type="dxa" w:w="3289"/>
          </w:tcPr>
          <w:p>
            <w:r>
              <w:rPr>
                <w:b w:val="0"/>
                <w:sz w:val="20"/>
              </w:rPr>
              <w:t>Hubpunkt Aufzüge GmbH</w:t>
            </w:r>
          </w:p>
        </w:tc>
        <w:tc>
          <w:tcPr>
            <w:tcW w:type="dxa" w:w="3289"/>
          </w:tcPr>
          <w:p>
            <w:r>
              <w:rPr>
                <w:b w:val="0"/>
                <w:sz w:val="20"/>
              </w:rPr>
              <w:t>60.000,00</w:t>
            </w:r>
          </w:p>
        </w:tc>
      </w:tr>
      <w:tr>
        <w:trPr>
          <w:cantSplit/>
        </w:trPr>
        <w:tc>
          <w:tcPr>
            <w:tcW w:type="dxa" w:w="3289"/>
          </w:tcPr>
          <w:p>
            <w:r>
              <w:rPr>
                <w:b w:val="0"/>
                <w:sz w:val="20"/>
              </w:rPr>
              <w:t>Außenanlagen und Entwässerung</w:t>
            </w:r>
          </w:p>
        </w:tc>
        <w:tc>
          <w:tcPr>
            <w:tcW w:type="dxa" w:w="3289"/>
          </w:tcPr>
          <w:p>
            <w:r>
              <w:rPr>
                <w:b w:val="0"/>
                <w:sz w:val="20"/>
              </w:rPr>
              <w:t>Grünkante Garten und Tiefbau GmbH</w:t>
            </w:r>
          </w:p>
        </w:tc>
        <w:tc>
          <w:tcPr>
            <w:tcW w:type="dxa" w:w="3289"/>
          </w:tcPr>
          <w:p>
            <w:r>
              <w:rPr>
                <w:b w:val="0"/>
                <w:sz w:val="20"/>
              </w:rPr>
              <w:t>120.000,00</w:t>
            </w:r>
          </w:p>
        </w:tc>
      </w:tr>
    </w:tbl>
    <w:p/>
    <w:p>
      <w:r>
        <w:t>Für das Rohbaulos liegen zwei unmittelbar vergleichbare Angebote vor. Steinwerk ist um 31.000,00 EUR netto günstiger und bestätigt den erforderlichen Dezemberbeginn. Massivbogen nennt den 17.01.2028. Die Bauherrin beauftragt Steinwerk nach Prüfung der Referenzen und der Personalbenennung. Aus der Terminabweichung wird keine vergaberechtliche Ausschlussentscheidung abgeleitet; es handelt sich um eine private Vertragsentscheidung.</w:t>
      </w:r>
    </w:p>
    <w:p>
      <w:r>
        <w:t>Die übrigen Lose wurden nach Marktansprache mit den jeweils beigefügten vollständigen Angeboten verhandelt. Die Entscheidung beruht auf Leistungsumfang, Schnittstellen und Kapazität, nicht auf einer behaupteten öffentlichen Ausschreibung. Eine besondere Bindung aus Fördermitteln liegt nicht vor. Die Hüllenfirma bestätigt das Schnittstellengespräch zu PV-Befestigung und Fensteranschlüssen.</w:t>
      </w:r>
    </w:p>
    <w:p>
      <w:r>
        <w:t>Die angebotenen Nettosummen werden zu den angebotenen Steuersätzen in die Kostenfortschreibung übernommen. Die rechtlichen Vertragsbedingungen werden von der unmittelbar beauftragten Kanzlei freigegeben. Frau Birk unterzeichnet jeden Vertrag selbst. Frau Feld erhält daraus keine Befugnis, Nachträge rechtsgeschäftlich anzunehmen.</w:t>
      </w:r>
    </w:p>
    <w:p>
      <w:r>
        <w:t>gez. Nora Feld, Architektin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Vergabevorschlag und dokumentierte Entscheidung</dc:title>
  <dc:subject/>
  <dc:creator>Klotzkette</dc:creator>
  <cp:keywords/>
  <dc:description>generated by python-docx</dc:description>
  <cp:lastModifiedBy>Klotzkette</cp:lastModifiedBy>
  <cp:revision>1</cp:revision>
  <dcterms:created xsi:type="dcterms:W3CDTF">2027-11-10T00:00:00Z</dcterms:created>
  <dcterms:modified xsi:type="dcterms:W3CDTF">2027-11-10T00:00:00Z</dcterms:modified>
  <cp:category/>
  <dc:language>de-DE</dc:language>
</cp:coreProperties>
</file>