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Innenraum Ausbau GmbH</w:t>
        <w:br/>
        <w:t>Werkzeile 24, 31137 Hildesheim</w:t>
      </w:r>
    </w:p>
    <w:p>
      <w:r>
        <w:t>Hildesheim, 12.11.2027 · SW-HI-26-08</w:t>
      </w:r>
    </w:p>
    <w:p>
      <w:pPr>
        <w:pStyle w:val="Title"/>
      </w:pPr>
      <w:r>
        <w:t>Bauvertrag für Innenausbau und Bodenbeläge</w:t>
      </w:r>
    </w:p>
    <w:p>
      <w:r>
        <w:t>Die Steinbogen Wohnen GmbH, vertreten durch Maren Birk, als Bestellerin und Innenraum Ausbau GmbH, vertreten durch Jan Merz, Bauleiter, als Unternehmer schließen den folgenden Vertrag für das Wohnhaus Wohnhof Am Steinbogen 18 in Hildesheim. Die endgültige Fassung wurde von der unmittelbar durch die Bestellerin beauftragten Kanzlei Leinebogen Rechtsanwälte rechtlich bearbeitet.</w:t>
      </w:r>
    </w:p>
    <w:p>
      <w:pPr>
        <w:pStyle w:val="Heading1"/>
      </w:pPr>
      <w:r>
        <w:t>1 Gegenstand und Unterlagen</w:t>
      </w:r>
    </w:p>
    <w:p>
      <w:r>
        <w:t>Der Unternehmer schuldet die vollständige und mangelfreie Ausführung des Loses Innenausbau und Bodenbeläge. Vertragsunterlagen sind dieser Vertrag, das Angebot vom 29.10.2027, das Leistungsverzeichnis vom 04.10.2027 mit den Bieterantworten vom 22.10.2027 und das freigegebene Planregister vom 24.09.2027. Widersprüche sind vor der betroffenen Ausführung schriftlich aufzuklären. Eine technische Planfreigabe ersetzt keine Genehmigung und keinen geänderten Vertrag.</w:t>
      </w:r>
    </w:p>
    <w:p>
      <w:r>
        <w:t>Geschuldet sind insbesondere die nachstehend genannten Positionen. Die jeweilige Leistungsbeschreibung des LV einschließlich Schnittstellen und Dokumentation ist Vertragsbestandteil.</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Position</w:t>
            </w:r>
          </w:p>
        </w:tc>
        <w:tc>
          <w:tcPr>
            <w:tcW w:type="dxa" w:w="4933"/>
          </w:tcPr>
          <w:p>
            <w:r>
              <w:rPr>
                <w:b/>
                <w:sz w:val="20"/>
              </w:rPr>
              <w:t>Pauschale netto EUR</w:t>
            </w:r>
          </w:p>
        </w:tc>
      </w:tr>
      <w:tr>
        <w:trPr>
          <w:cantSplit/>
        </w:trPr>
        <w:tc>
          <w:tcPr>
            <w:tcW w:type="dxa" w:w="4933"/>
          </w:tcPr>
          <w:p>
            <w:r>
              <w:rPr>
                <w:b w:val="0"/>
                <w:sz w:val="20"/>
              </w:rPr>
              <w:t>Trockenbau und Innenputz</w:t>
            </w:r>
          </w:p>
        </w:tc>
        <w:tc>
          <w:tcPr>
            <w:tcW w:type="dxa" w:w="4933"/>
          </w:tcPr>
          <w:p>
            <w:r>
              <w:rPr>
                <w:b w:val="0"/>
                <w:sz w:val="20"/>
              </w:rPr>
              <w:t>100.000,00</w:t>
            </w:r>
          </w:p>
        </w:tc>
      </w:tr>
      <w:tr>
        <w:trPr>
          <w:cantSplit/>
        </w:trPr>
        <w:tc>
          <w:tcPr>
            <w:tcW w:type="dxa" w:w="4933"/>
          </w:tcPr>
          <w:p>
            <w:r>
              <w:rPr>
                <w:b w:val="0"/>
                <w:sz w:val="20"/>
              </w:rPr>
              <w:t>Estrich und Bodenbeläge</w:t>
            </w:r>
          </w:p>
        </w:tc>
        <w:tc>
          <w:tcPr>
            <w:tcW w:type="dxa" w:w="4933"/>
          </w:tcPr>
          <w:p>
            <w:r>
              <w:rPr>
                <w:b w:val="0"/>
                <w:sz w:val="20"/>
              </w:rPr>
              <w:t>90.000,00</w:t>
            </w:r>
          </w:p>
        </w:tc>
      </w:tr>
      <w:tr>
        <w:trPr>
          <w:cantSplit/>
        </w:trPr>
        <w:tc>
          <w:tcPr>
            <w:tcW w:type="dxa" w:w="4933"/>
          </w:tcPr>
          <w:p>
            <w:r>
              <w:rPr>
                <w:b w:val="0"/>
                <w:sz w:val="20"/>
              </w:rPr>
              <w:t>Innentüren</w:t>
            </w:r>
          </w:p>
        </w:tc>
        <w:tc>
          <w:tcPr>
            <w:tcW w:type="dxa" w:w="4933"/>
          </w:tcPr>
          <w:p>
            <w:r>
              <w:rPr>
                <w:b w:val="0"/>
                <w:sz w:val="20"/>
              </w:rPr>
              <w:t>55.000,00</w:t>
            </w:r>
          </w:p>
        </w:tc>
      </w:tr>
      <w:tr>
        <w:trPr>
          <w:cantSplit/>
        </w:trPr>
        <w:tc>
          <w:tcPr>
            <w:tcW w:type="dxa" w:w="4933"/>
          </w:tcPr>
          <w:p>
            <w:r>
              <w:rPr>
                <w:b w:val="0"/>
                <w:sz w:val="20"/>
              </w:rPr>
              <w:t>Malerarbeiten und Endreinigung</w:t>
            </w:r>
          </w:p>
        </w:tc>
        <w:tc>
          <w:tcPr>
            <w:tcW w:type="dxa" w:w="4933"/>
          </w:tcPr>
          <w:p>
            <w:r>
              <w:rPr>
                <w:b w:val="0"/>
                <w:sz w:val="20"/>
              </w:rPr>
              <w:t>55.000,00</w:t>
            </w:r>
          </w:p>
        </w:tc>
      </w:tr>
    </w:tbl>
    <w:p/>
    <w:p>
      <w:pPr>
        <w:pStyle w:val="Heading1"/>
      </w:pPr>
      <w:r>
        <w:t>2 Vergütung und Rechnungen</w:t>
      </w:r>
    </w:p>
    <w:p>
      <w:r>
        <w:t>Die vereinbarte Pauschalvergütung beträgt 300.000,00 EUR netto. Bei den vereinbarten Steuersätzen entfallen 57.000,00 EUR auf Umsatzsteuer und damit 357.000,00 EUR auf den Gesamtbetrag. Der gesetzlich geschuldete Steuersatz im Zeitpunkt der jeweiligen Leistung bleibt maßgeblich. Die Parteien gehen für die hier beschriebenen Leistungen von 19 Prozent Umsatzsteuer aus.</w:t>
      </w:r>
    </w:p>
    <w:p>
      <w:r>
        <w:t>Abschläge werden auf Grundlage nachgewiesener vertragsgemäßer Leistungen mit einer nachvollziehbaren Aufstellung verlangt. Die Bestellerin zahlt berechtigte Abschläge innerhalb von 14 Kalendertagen nach Zugang der prüfbaren Aufstellung. Die Schlusszahlung setzt die vertraglichen und gesetzlichen Voraussetzungen, insbesondere Abnahme und prüffähige Schlussrechnung, voraus. Geleistete Abschläge und die darauf entfallende Umsatzsteuer sind vollständig abzusetzen. Ein Skonto ist nicht vereinbart.</w:t>
      </w:r>
    </w:p>
    <w:p>
      <w:pPr>
        <w:pStyle w:val="Heading1"/>
      </w:pPr>
      <w:r>
        <w:t>3 Termine und Zusammenarbeit</w:t>
      </w:r>
    </w:p>
    <w:p>
      <w:r>
        <w:t>Die Baustelleneinrichtung beginnt am 01.12.2027, der Rohbau am 06.12.2027. Die eigene Ausführung ist mit dem beigefügten Bauzeitenplan abzustimmen. Sämtliche Leistungen müssen bis zum gemeinsamen Abnahmetermin am 15.09.2028 fertiggestellt sein. Der Unternehmer weist auf erkennbare Behinderungen unverzüglich mit Ursache, betroffenen Arbeiten und voraussichtlicher Dauer hin und benennt mögliche Gegenmaßnahmen. Eine Anzeige begründet für sich allein noch keinen Anspruch auf zusätzliche Vergütung oder einen bestimmten neuen Termin.</w:t>
      </w:r>
    </w:p>
    <w:p>
      <w:pPr>
        <w:pStyle w:val="Heading1"/>
      </w:pPr>
      <w:r>
        <w:t>4 Änderungen und zusätzliche Leistungen</w:t>
      </w:r>
    </w:p>
    <w:p>
      <w:r>
        <w:t>Änderungen werden mit konkret bezeichnetem Leistungsinhalt, Auswirkungen auf Termine und einer nachvollziehbaren Preisermittlung vorbereitet. Die Bestellerin entscheidet durch ihre Geschäftsführerin. Die Objektüberwachung darf technische Fragen klären und Angebote bewerten; sie ist nicht zum Abschluss von Nachtragsvereinbarungen bevollmächtigt. Gesetzliche Änderungs- und Anordnungsrechte und die zugehörigen Vergütungsregeln bleiben unberührt. Bei unmittelbar drohenden Schäden sind erforderliche Sicherungsmaßnahmen zu ergreifen und unverzüglich zu dokumentieren.</w:t>
      </w:r>
    </w:p>
    <w:p>
      <w:pPr>
        <w:pStyle w:val="Heading1"/>
      </w:pPr>
      <w:r>
        <w:t>5 Qualität und Nachweise</w:t>
      </w:r>
    </w:p>
    <w:p>
      <w:r>
        <w:t>Der Unternehmer beachtet die vereinbarte Beschaffenheit, die einschlägigen öffentlich-rechtlichen Anforderungen und die anerkannten Regeln der Technik. Er dokumentiert verdeckte Arbeiten vor dem Verschließen, benennt die verwendeten Produkte und übergibt die notwendigen Prüf- und Betriebsunterlagen. Bedenken gegen Vorleistungen, Planunterlagen oder andere Schnittstellen teilt er so rechtzeitig mit, dass die Bestellerin reagieren kann. Die Mitwirkung der Planer entlastet ihn nicht pauschal von eigenen Vertragspflichten.</w:t>
      </w:r>
    </w:p>
    <w:p>
      <w:pPr>
        <w:pStyle w:val="Heading1"/>
      </w:pPr>
      <w:r>
        <w:t>6 Abnahme und Mängel</w:t>
      </w:r>
    </w:p>
    <w:p>
      <w:r>
        <w:t>Die Parteien vereinbaren eine gemeinsame förmliche Abnahme der vertragsgemäß fertiggestellten Leistung. Bekannte Mängel und Vorbehalte werden im Abnahmeprotokoll konkret bezeichnet. Die Rechte bei wesentlichen Mängeln bleiben unberührt. Für Mängelansprüche am Bauwerk gilt die gesetzliche Verjährung von fünf Jahren ab Abnahme, soweit nicht im konkreten Fall zwingende oder längere gesetzliche Regeln eingreifen. Wartungs- und Bedienhinweise sind bei Übergabe gesondert zu erläutern.</w:t>
      </w:r>
    </w:p>
    <w:p>
      <w:pPr>
        <w:pStyle w:val="Heading1"/>
      </w:pPr>
      <w:r>
        <w:t>7 Sicherheit und Haftung</w:t>
      </w:r>
    </w:p>
    <w:p>
      <w:r>
        <w:t>Eine besondere Vertragserfüllungs- oder Mängelbürgschaft ist für dieses Los nicht vereinbart. Gesetzliche Zurückbehaltungsrechte bleiben unberührt. Die Haftung richtet sich nach den gesetzlichen Vorschriften; ein pauschaler Ausschluss für Folgeschäden oder eine Begrenzung bei vorsätzlichem oder grob fahrlässigem Verhalten wird nicht vereinbart.</w:t>
      </w:r>
    </w:p>
    <w:p>
      <w:pPr>
        <w:pStyle w:val="Heading1"/>
      </w:pPr>
      <w:r>
        <w:t>8 Abschluss</w:t>
      </w:r>
    </w:p>
    <w:p>
      <w:r>
        <w:t>Es gilt deutsches Recht. Die VOB/B wird nicht Vertragsbestandteil. Änderungen und Ergänzungen sollen zur Nachvollziehbarkeit in Textform dokumentiert werden; der Vorrang wirksamer Individualvereinbarungen bleibt unberührt. Die gesetzlichen Gerichtsstände bleiben bestehen. Beide Parteien bestätigen den Erhalt der bezeichneten Vertragsunterlagen.</w:t>
      </w:r>
    </w:p>
    <w:p>
      <w:r>
        <w:t>Hildesheim, 12.11.2027. Für die Bestellerin: gez. Maren Birk. Für den Unternehmer: gez. Jan Merz, Bauleiter.</w:t>
      </w:r>
    </w:p>
    <w:p>
      <w:r>
        <w:t>Vertragsausfertigung für beide Parteien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für Innenausbau und Bodenbeläge</dc:title>
  <dc:subject/>
  <dc:creator>Klotzkette</dc:creator>
  <cp:keywords/>
  <dc:description>generated by python-docx</dc:description>
  <cp:lastModifiedBy>Klotzkette</cp:lastModifiedBy>
  <cp:revision>1</cp:revision>
  <dcterms:created xsi:type="dcterms:W3CDTF">2027-11-12T00:00:00Z</dcterms:created>
  <dcterms:modified xsi:type="dcterms:W3CDTF">2027-11-12T00:00:00Z</dcterms:modified>
  <cp:category/>
  <dc:language>de-DE</dc:language>
</cp:coreProperties>
</file>