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Steinbogen Wohnen GmbH</w:t>
        <w:br/>
        <w:t>Wohnhof Am Steinbogen 18, 31134 Hildesheim</w:t>
      </w:r>
    </w:p>
    <w:p>
      <w:r>
        <w:t>Hildesheim, 15.09.2028 · SW-HI-26-08</w:t>
      </w:r>
    </w:p>
    <w:p>
      <w:pPr>
        <w:pStyle w:val="Title"/>
      </w:pPr>
      <w:r>
        <w:t>Protokoll des gemeinsamen förmlichen Abnahmetermins</w:t>
      </w:r>
    </w:p>
    <w:p>
      <w:r>
        <w:t>Am 15.09.2028 wurden die Leistungen der sieben Bauverträge im Wohnhof Am Steinbogen 18 gemeinsam besichtigt. Für die Bestellerin nahm Maren Birk teil, als beratende Objektüberwachung Nora Feld. Die nachfolgend genannten Unternehmen waren jeweils für ihr Gewerk vertreten. Jede Abnahmeerklärung bezieht sich nur auf die bezeichnete Vertragsleistung.</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Vertrag</w:t>
            </w:r>
          </w:p>
        </w:tc>
        <w:tc>
          <w:tcPr>
            <w:tcW w:type="dxa" w:w="4933"/>
          </w:tcPr>
          <w:p>
            <w:r>
              <w:rPr>
                <w:b/>
                <w:sz w:val="20"/>
              </w:rPr>
              <w:t>Erklärung und Vorbehalt</w:t>
            </w:r>
          </w:p>
        </w:tc>
      </w:tr>
      <w:tr>
        <w:trPr>
          <w:cantSplit/>
        </w:trPr>
        <w:tc>
          <w:tcPr>
            <w:tcW w:type="dxa" w:w="4933"/>
          </w:tcPr>
          <w:p>
            <w:r>
              <w:rPr>
                <w:b w:val="0"/>
                <w:sz w:val="20"/>
              </w:rPr>
              <w:t>Erdarbeiten und Rohbau</w:t>
            </w:r>
          </w:p>
        </w:tc>
        <w:tc>
          <w:tcPr>
            <w:tcW w:type="dxa" w:w="4933"/>
          </w:tcPr>
          <w:p>
            <w:r>
              <w:rPr>
                <w:b w:val="0"/>
                <w:sz w:val="20"/>
              </w:rPr>
              <w:t>Die Bestellerin nimmt die Leistung ab. Im heutigen Termin bestehen keine zusätzlich protokollierten offenen Mängel. Nicht erkennbare Mängel bleiben von dieser Feststellung unberührt.</w:t>
            </w:r>
          </w:p>
        </w:tc>
      </w:tr>
      <w:tr>
        <w:trPr>
          <w:cantSplit/>
        </w:trPr>
        <w:tc>
          <w:tcPr>
            <w:tcW w:type="dxa" w:w="4933"/>
          </w:tcPr>
          <w:p>
            <w:r>
              <w:rPr>
                <w:b w:val="0"/>
                <w:sz w:val="20"/>
              </w:rPr>
              <w:t>Dach Fassade und Fenster</w:t>
            </w:r>
          </w:p>
        </w:tc>
        <w:tc>
          <w:tcPr>
            <w:tcW w:type="dxa" w:w="4933"/>
          </w:tcPr>
          <w:p>
            <w:r>
              <w:rPr>
                <w:b w:val="0"/>
                <w:sz w:val="20"/>
              </w:rPr>
              <w:t>Die Bestellerin nimmt die Leistung ab. Im heutigen Termin bestehen keine zusätzlich protokollierten offenen Mängel. Nicht erkennbare Mängel bleiben von dieser Feststellung unberührt.</w:t>
            </w:r>
          </w:p>
        </w:tc>
      </w:tr>
      <w:tr>
        <w:trPr>
          <w:cantSplit/>
        </w:trPr>
        <w:tc>
          <w:tcPr>
            <w:tcW w:type="dxa" w:w="4933"/>
          </w:tcPr>
          <w:p>
            <w:r>
              <w:rPr>
                <w:b w:val="0"/>
                <w:sz w:val="20"/>
              </w:rPr>
              <w:t>Heizung Lüftung und Sanitär</w:t>
            </w:r>
          </w:p>
        </w:tc>
        <w:tc>
          <w:tcPr>
            <w:tcW w:type="dxa" w:w="4933"/>
          </w:tcPr>
          <w:p>
            <w:r>
              <w:rPr>
                <w:b w:val="0"/>
                <w:sz w:val="20"/>
              </w:rPr>
              <w:t>Die Bestellerin nimmt die Leistung ab. Im heutigen Termin bestehen keine zusätzlich protokollierten offenen Mängel. Nicht erkennbare Mängel bleiben von dieser Feststellung unberührt.</w:t>
            </w:r>
          </w:p>
        </w:tc>
      </w:tr>
      <w:tr>
        <w:trPr>
          <w:cantSplit/>
        </w:trPr>
        <w:tc>
          <w:tcPr>
            <w:tcW w:type="dxa" w:w="4933"/>
          </w:tcPr>
          <w:p>
            <w:r>
              <w:rPr>
                <w:b w:val="0"/>
                <w:sz w:val="20"/>
              </w:rPr>
              <w:t>Elektrotechnik Photovoltaik und Ladeinfrastruktur</w:t>
            </w:r>
          </w:p>
        </w:tc>
        <w:tc>
          <w:tcPr>
            <w:tcW w:type="dxa" w:w="4933"/>
          </w:tcPr>
          <w:p>
            <w:r>
              <w:rPr>
                <w:b w:val="0"/>
                <w:sz w:val="20"/>
              </w:rPr>
              <w:t>Die Bestellerin nimmt die Leistung ab. Im heutigen Termin bestehen keine zusätzlich protokollierten offenen Mängel. Nicht erkennbare Mängel bleiben von dieser Feststellung unberührt.</w:t>
            </w:r>
          </w:p>
        </w:tc>
      </w:tr>
      <w:tr>
        <w:trPr>
          <w:cantSplit/>
        </w:trPr>
        <w:tc>
          <w:tcPr>
            <w:tcW w:type="dxa" w:w="4933"/>
          </w:tcPr>
          <w:p>
            <w:r>
              <w:rPr>
                <w:b w:val="0"/>
                <w:sz w:val="20"/>
              </w:rPr>
              <w:t>Innenausbau und Bodenbeläge</w:t>
            </w:r>
          </w:p>
        </w:tc>
        <w:tc>
          <w:tcPr>
            <w:tcW w:type="dxa" w:w="4933"/>
          </w:tcPr>
          <w:p>
            <w:r>
              <w:rPr>
                <w:b w:val="0"/>
                <w:sz w:val="20"/>
              </w:rPr>
              <w:t>Die Bestellerin nimmt die Leistung ab. Der abweichende Eichenbelag der Wohnung 07 bleibt als bekannter Mangel vorbehalten. Eine Vergütungsanpassung ist noch nicht vereinbart.</w:t>
            </w:r>
          </w:p>
        </w:tc>
      </w:tr>
      <w:tr>
        <w:trPr>
          <w:cantSplit/>
        </w:trPr>
        <w:tc>
          <w:tcPr>
            <w:tcW w:type="dxa" w:w="4933"/>
          </w:tcPr>
          <w:p>
            <w:r>
              <w:rPr>
                <w:b w:val="0"/>
                <w:sz w:val="20"/>
              </w:rPr>
              <w:t>Aufzuganlage</w:t>
            </w:r>
          </w:p>
        </w:tc>
        <w:tc>
          <w:tcPr>
            <w:tcW w:type="dxa" w:w="4933"/>
          </w:tcPr>
          <w:p>
            <w:r>
              <w:rPr>
                <w:b w:val="0"/>
                <w:sz w:val="20"/>
              </w:rPr>
              <w:t>Die Bestellerin nimmt die Leistung ab. Im heutigen Termin bestehen keine zusätzlich protokollierten offenen Mängel. Nicht erkennbare Mängel bleiben von dieser Feststellung unberührt.</w:t>
            </w:r>
          </w:p>
        </w:tc>
      </w:tr>
      <w:tr>
        <w:trPr>
          <w:cantSplit/>
        </w:trPr>
        <w:tc>
          <w:tcPr>
            <w:tcW w:type="dxa" w:w="4933"/>
          </w:tcPr>
          <w:p>
            <w:r>
              <w:rPr>
                <w:b w:val="0"/>
                <w:sz w:val="20"/>
              </w:rPr>
              <w:t>Außenanlagen und Entwässerung</w:t>
            </w:r>
          </w:p>
        </w:tc>
        <w:tc>
          <w:tcPr>
            <w:tcW w:type="dxa" w:w="4933"/>
          </w:tcPr>
          <w:p>
            <w:r>
              <w:rPr>
                <w:b w:val="0"/>
                <w:sz w:val="20"/>
              </w:rPr>
              <w:t>Die Bestellerin nimmt die Leistung ab. Im heutigen Termin bestehen keine zusätzlich protokollierten offenen Mängel. Nicht erkennbare Mängel bleiben von dieser Feststellung unberührt.</w:t>
            </w:r>
          </w:p>
        </w:tc>
      </w:tr>
    </w:tbl>
    <w:p/>
    <w:p>
      <w:r>
        <w:t>Die am 11.09.2028 angezeigte Türfunktion und der sichtbare Fensterbankanschluss wurden erneut kontrolliert. Die dokumentierten Maßnahmen sind im sichtbaren Bereich erledigt. Die fachliche Prüfung ersetzt keine Zusage, dass verdeckte Mängel ausgeschlossen seien. Vorbehalte wegen einer Vertragsstrafe werden nicht aufgenommen, weil keine Vertragsstrafe vereinbart wurde.</w:t>
      </w:r>
    </w:p>
    <w:p>
      <w:r>
        <w:t>Die Parteien halten den heutigen Tag als Abnahmedatum ihrer jeweiligen Bauleistung fest. Die reguläre fünfjährige Mängelverjährung aus den hier geschlossenen BGB-Bauverträgen wird mit dem 15.09.2033 als vorläufigem Fristende im Register vermerkt. Spätere Anerkenntnisse, Verhandlungen oder sonstige fristrelevante Vorgänge sind gesondert zu prüfen. Für Architektenleistungen wird heute keine Abnahme erklärt.</w:t>
      </w:r>
    </w:p>
    <w:p>
      <w:r>
        <w:t>Die vollständigen Revisions- und Bedienunterlagen werden im Übergabetermin am 22.09.2028 an die Verwaltung ausgegeben. Der Rohbauunternehmer hat die vereinbarte Mängelbürgschaft vorgelegt. Die Bestellerin bestätigt den Erhalt, ohne damit über noch nicht bekannte Mängelansprüche zu verfügen.</w:t>
      </w:r>
    </w:p>
    <w:p>
      <w:r>
        <w:t>Unterschriften: gez. Maren Birk; Timo Wendt; Ina Mertens; Arne Thiel; Selin Voß; Jan Merz; Ralf Hanke; Mira Roth. Protokollführung: gez. Nora Feld.</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des gemeinsamen förmlichen Abnahmetermins</dc:title>
  <dc:subject/>
  <dc:creator>Klotzkette</dc:creator>
  <cp:keywords/>
  <dc:description>generated by python-docx</dc:description>
  <cp:lastModifiedBy>Klotzkette</cp:lastModifiedBy>
  <cp:revision>1</cp:revision>
  <dcterms:created xsi:type="dcterms:W3CDTF">2028-09-15T00:00:00Z</dcterms:created>
  <dcterms:modified xsi:type="dcterms:W3CDTF">2028-09-15T00:00:00Z</dcterms:modified>
  <cp:category/>
  <dc:language>de-DE</dc:language>
</cp:coreProperties>
</file>