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Steinwerk Hochbau GmbH</w:t>
        <w:br/>
        <w:t>Werkhof 21, 31135 Hildesheim</w:t>
      </w:r>
    </w:p>
    <w:p>
      <w:r>
        <w:t>Hildesheim, 18.09.2033 · SW-HI-26-08</w:t>
      </w:r>
    </w:p>
    <w:p>
      <w:pPr>
        <w:pStyle w:val="Title"/>
      </w:pPr>
      <w:r>
        <w:t>Rückgabe der Bürgschaft für das Rohbaulos</w:t>
      </w:r>
    </w:p>
    <w:p>
      <w:r>
        <w:t>Nach Auswertung der Vorfristbegehung vom 10.08.2033 und der zwischenzeitlichen Meldungen geben wir die Mängelbürgschaft LB-SW-2028-325 über 32.500,00 EUR für das Rohbaulos zurück. Bis zum heutigen Stand sind keine offenen gesicherten Ansprüche aus diesem Vertrag konkret festgestellt oder angezeigt worden.</w:t>
      </w:r>
    </w:p>
    <w:p>
      <w:r>
        <w:t>Die Erklärung bezieht sich ausschließlich auf die bezeichnete Sicherheit des Rohbauunternehmens. Sie enthält keinen allgemeinen Erlass von Ansprüchen aus anderen Bauverträgen und keine abschließende rechtliche Einordnung des Fensteranschlussvorgangs von 2030. Die Verwaltungsunterlagen werden weiter aufbewahrt.</w:t>
      </w:r>
    </w:p>
    <w:p>
      <w:r>
        <w:t>Bitte bestätigen Sie den Empfang der Bürgschaftsurkunde. Die Rückgabe wird im Sicherheitenregister der Bauherrin vermerkt. Die Objektüberwachung hat die fachlichen Befunde geliefert; die Entscheidung über die Rückgabe trifft die Bauherrin selbst.</w:t>
      </w:r>
    </w:p>
    <w:p>
      <w:r>
        <w:t>Die Planerleistungen werden gesondert abgeschlossen. Der heutige Vorgang ist weder eine rückwirkende Abnahme des Architektenvertrags noch eine Änderung der laufenden Betreiber- und Wartungsorganisation.</w:t>
      </w:r>
    </w:p>
    <w:p>
      <w:r>
        <w:t>gez. Maren Birk, Geschäftsführerin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Rückgabe der Bürgschaft für das Rohbaulos</dc:title>
  <dc:subject/>
  <dc:creator>Klotzkette</dc:creator>
  <cp:keywords/>
  <dc:description>generated by python-docx</dc:description>
  <cp:lastModifiedBy>Klotzkette</cp:lastModifiedBy>
  <cp:revision>1</cp:revision>
  <dcterms:created xsi:type="dcterms:W3CDTF">2033-09-18T00:00:00Z</dcterms:created>
  <dcterms:modified xsi:type="dcterms:W3CDTF">2033-09-18T00:00:00Z</dcterms:modified>
  <cp:category/>
  <dc:language>de-DE</dc:language>
</cp:coreProperties>
</file>