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Verzeichnis der Verarbeitungstätigkeiten</w:t>
      </w:r>
    </w:p>
    <w:p>
      <w:r>
        <w:t>[Unternehmen ergänzen] führt dieses Verzeichnis in Registerrevision 0. Der ausgewiesene Dateistand ist 2026-10-10T09:00:00+02:00.</w:t>
      </w:r>
    </w:p>
    <w:p>
      <w:r>
        <w:t>Leere Angaben werden ausdrücklich als noch nicht erhoben ausgewiesen. Eine dokumentierte DSFA-Entscheidung ersetzt weder die Datenschutz-Folgenabschätzung selbst noch die rechtliche Zulässigkeitsprüfung der Verarbeitung.</w:t>
      </w:r>
    </w:p>
    <w:p>
      <w:pPr>
        <w:pStyle w:val="Heading1"/>
      </w:pPr>
      <w:r>
        <w:t>1. Organisation und Kontakt</w:t>
      </w:r>
    </w:p>
    <w:p>
      <w:r>
        <w:t>Die Organisation ist erreichbar unter: noch nicht erhoben.</w:t>
      </w:r>
    </w:p>
    <w:p>
      <w:r>
        <w:t>Als Vertreter ist dokumentiert: noch nicht erhoben.</w:t>
      </w:r>
    </w:p>
    <w:p>
      <w:r>
        <w:t>Zum Datenschutzbeauftragten ist dokumentiert: noch nicht erhoben.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Times New Roman" w:hAnsi="Times New Roman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